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C9109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团结奋进 竞标争先</w:t>
      </w:r>
    </w:p>
    <w:p w14:paraId="77935DA4">
      <w:pPr>
        <w:pStyle w:val="2"/>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为云浮高质量发展贡献财政力量</w:t>
      </w:r>
    </w:p>
    <w:p w14:paraId="3E45CE6C">
      <w:pPr>
        <w:pStyle w:val="2"/>
        <w:ind w:firstLine="2240" w:firstLineChars="700"/>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云浮市财政局预算科</w:t>
      </w:r>
    </w:p>
    <w:p w14:paraId="0692EA0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CESI仿宋-GB18030" w:hAnsi="CESI仿宋-GB18030" w:eastAsia="CESI仿宋-GB18030" w:cs="CESI仿宋-GB18030"/>
          <w:sz w:val="32"/>
          <w:szCs w:val="32"/>
          <w:highlight w:val="yellow"/>
          <w:lang w:eastAsia="zh-CN"/>
        </w:rPr>
      </w:pPr>
    </w:p>
    <w:p w14:paraId="08A54F42">
      <w:pPr>
        <w:pStyle w:val="10"/>
        <w:keepNext w:val="0"/>
        <w:keepLines w:val="0"/>
        <w:pageBreakBefore w:val="0"/>
        <w:widowControl/>
        <w:kinsoku/>
        <w:wordWrap/>
        <w:overflowPunct/>
        <w:topLinePunct w:val="0"/>
        <w:autoSpaceDE/>
        <w:autoSpaceDN/>
        <w:bidi w:val="0"/>
        <w:adjustRightInd/>
        <w:snapToGrid/>
        <w:spacing w:before="0" w:beforeLines="0" w:after="0" w:afterLines="0" w:line="60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财政是国家治理的基础和重要支柱，预算是财政的核心内容，云浮市财政局党组</w:t>
      </w:r>
      <w:r>
        <w:rPr>
          <w:rFonts w:hint="eastAsia" w:ascii="仿宋_GB2312" w:hAnsi="仿宋_GB2312" w:eastAsia="仿宋_GB2312" w:cs="仿宋_GB2312"/>
          <w:sz w:val="32"/>
          <w:szCs w:val="32"/>
          <w:highlight w:val="none"/>
          <w:lang w:val="en-US" w:eastAsia="zh-CN"/>
        </w:rPr>
        <w:t>围绕</w:t>
      </w:r>
      <w:r>
        <w:rPr>
          <w:rFonts w:hint="eastAsia" w:ascii="仿宋_GB2312" w:hAnsi="仿宋_GB2312" w:eastAsia="仿宋_GB2312" w:cs="仿宋_GB2312"/>
          <w:sz w:val="32"/>
          <w:szCs w:val="32"/>
          <w:highlight w:val="none"/>
          <w:lang w:eastAsia="zh-CN"/>
        </w:rPr>
        <w:t>新时代干部</w:t>
      </w:r>
      <w:r>
        <w:rPr>
          <w:rFonts w:hint="eastAsia" w:ascii="仿宋_GB2312" w:hAnsi="仿宋_GB2312" w:eastAsia="仿宋_GB2312" w:cs="仿宋_GB2312"/>
          <w:sz w:val="32"/>
          <w:szCs w:val="32"/>
          <w:highlight w:val="none"/>
          <w:lang w:val="en-US" w:eastAsia="zh-CN"/>
        </w:rPr>
        <w:t>标准</w:t>
      </w:r>
      <w:r>
        <w:rPr>
          <w:rFonts w:hint="eastAsia" w:ascii="仿宋_GB2312" w:hAnsi="仿宋_GB2312" w:eastAsia="仿宋_GB2312" w:cs="仿宋_GB2312"/>
          <w:sz w:val="32"/>
          <w:szCs w:val="32"/>
          <w:highlight w:val="none"/>
          <w:lang w:eastAsia="zh-CN"/>
        </w:rPr>
        <w:t>精心打造预算科</w:t>
      </w:r>
      <w:r>
        <w:rPr>
          <w:rFonts w:hint="eastAsia" w:ascii="仿宋_GB2312" w:hAnsi="仿宋_GB2312" w:eastAsia="仿宋_GB2312" w:cs="仿宋_GB2312"/>
          <w:sz w:val="32"/>
          <w:szCs w:val="32"/>
          <w:highlight w:val="none"/>
          <w:lang w:val="en-US" w:eastAsia="zh-CN"/>
        </w:rPr>
        <w:t>团队</w:t>
      </w:r>
      <w:r>
        <w:rPr>
          <w:rFonts w:hint="eastAsia" w:ascii="仿宋_GB2312" w:hAnsi="仿宋_GB2312" w:eastAsia="仿宋_GB2312" w:cs="仿宋_GB2312"/>
          <w:sz w:val="32"/>
          <w:szCs w:val="32"/>
          <w:highlight w:val="none"/>
          <w:lang w:eastAsia="zh-CN"/>
        </w:rPr>
        <w:t>，为</w:t>
      </w:r>
      <w:r>
        <w:rPr>
          <w:rFonts w:hint="eastAsia" w:ascii="仿宋_GB2312" w:hAnsi="仿宋_GB2312" w:eastAsia="仿宋_GB2312" w:cs="仿宋_GB2312"/>
          <w:sz w:val="32"/>
          <w:szCs w:val="32"/>
          <w:highlight w:val="none"/>
          <w:lang w:val="en-US" w:eastAsia="zh-CN"/>
        </w:rPr>
        <w:t>做好</w:t>
      </w:r>
      <w:r>
        <w:rPr>
          <w:rFonts w:hint="eastAsia" w:ascii="仿宋_GB2312" w:hAnsi="仿宋_GB2312" w:eastAsia="仿宋_GB2312" w:cs="仿宋_GB2312"/>
          <w:sz w:val="32"/>
          <w:szCs w:val="32"/>
          <w:highlight w:val="none"/>
          <w:lang w:eastAsia="zh-CN"/>
        </w:rPr>
        <w:t>全市</w:t>
      </w:r>
      <w:r>
        <w:rPr>
          <w:rFonts w:hint="eastAsia" w:ascii="仿宋_GB2312" w:hAnsi="仿宋_GB2312" w:eastAsia="仿宋_GB2312" w:cs="仿宋_GB2312"/>
          <w:sz w:val="32"/>
          <w:szCs w:val="32"/>
          <w:highlight w:val="none"/>
          <w:lang w:val="en-US" w:eastAsia="zh-CN"/>
        </w:rPr>
        <w:t>大预算、大</w:t>
      </w:r>
      <w:r>
        <w:rPr>
          <w:rFonts w:hint="eastAsia" w:ascii="仿宋_GB2312" w:hAnsi="仿宋_GB2312" w:eastAsia="仿宋_GB2312" w:cs="仿宋_GB2312"/>
          <w:sz w:val="32"/>
          <w:szCs w:val="44"/>
          <w:lang w:eastAsia="zh-CN"/>
        </w:rPr>
        <w:t>财政打好坚实基础。</w:t>
      </w:r>
      <w:r>
        <w:rPr>
          <w:rFonts w:hint="eastAsia" w:ascii="仿宋_GB2312" w:hAnsi="仿宋_GB2312" w:eastAsia="仿宋_GB2312" w:cs="仿宋_GB2312"/>
          <w:sz w:val="32"/>
          <w:szCs w:val="44"/>
          <w:lang w:val="en-US" w:eastAsia="zh-CN"/>
        </w:rPr>
        <w:t>现科室科长由总会计师曹标同志兼任，在岗7人均为</w:t>
      </w:r>
      <w:r>
        <w:rPr>
          <w:rFonts w:hint="eastAsia" w:ascii="仿宋_GB2312" w:hAnsi="仿宋_GB2312" w:eastAsia="仿宋_GB2312" w:cs="仿宋_GB2312"/>
          <w:sz w:val="32"/>
          <w:szCs w:val="32"/>
          <w:highlight w:val="none"/>
          <w:lang w:eastAsia="zh-CN"/>
        </w:rPr>
        <w:t>全日制</w:t>
      </w:r>
      <w:r>
        <w:rPr>
          <w:rFonts w:hint="eastAsia" w:ascii="仿宋_GB2312" w:hAnsi="仿宋_GB2312" w:eastAsia="仿宋_GB2312" w:cs="仿宋_GB2312"/>
          <w:sz w:val="32"/>
          <w:szCs w:val="32"/>
          <w:highlight w:val="none"/>
          <w:lang w:val="en-US" w:eastAsia="zh-CN"/>
        </w:rPr>
        <w:t>大学</w:t>
      </w:r>
      <w:r>
        <w:rPr>
          <w:rFonts w:hint="eastAsia" w:ascii="仿宋_GB2312" w:hAnsi="仿宋_GB2312" w:eastAsia="仿宋_GB2312" w:cs="仿宋_GB2312"/>
          <w:sz w:val="32"/>
          <w:szCs w:val="32"/>
          <w:highlight w:val="none"/>
          <w:lang w:eastAsia="zh-CN"/>
        </w:rPr>
        <w:t>本科</w:t>
      </w:r>
      <w:r>
        <w:rPr>
          <w:rFonts w:hint="eastAsia" w:ascii="仿宋_GB2312" w:hAnsi="仿宋_GB2312" w:eastAsia="仿宋_GB2312" w:cs="仿宋_GB2312"/>
          <w:sz w:val="32"/>
          <w:szCs w:val="32"/>
          <w:highlight w:val="none"/>
          <w:lang w:val="en-US" w:eastAsia="zh-CN"/>
        </w:rPr>
        <w:t>及</w:t>
      </w:r>
      <w:r>
        <w:rPr>
          <w:rFonts w:hint="eastAsia" w:ascii="仿宋_GB2312" w:hAnsi="仿宋_GB2312" w:eastAsia="仿宋_GB2312" w:cs="仿宋_GB2312"/>
          <w:sz w:val="32"/>
          <w:szCs w:val="32"/>
          <w:highlight w:val="none"/>
          <w:lang w:eastAsia="zh-CN"/>
        </w:rPr>
        <w:t>以上</w:t>
      </w:r>
      <w:r>
        <w:rPr>
          <w:rFonts w:hint="eastAsia" w:ascii="仿宋_GB2312" w:hAnsi="仿宋_GB2312" w:eastAsia="仿宋_GB2312" w:cs="仿宋_GB2312"/>
          <w:sz w:val="32"/>
          <w:szCs w:val="32"/>
          <w:highlight w:val="none"/>
          <w:lang w:val="en-US" w:eastAsia="zh-CN"/>
        </w:rPr>
        <w:t>学历</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44"/>
          <w:lang w:val="en-US" w:eastAsia="zh-CN"/>
        </w:rPr>
        <w:t>工作人员平均年龄30岁，是我市财政系统最年轻、最专业、最优秀的团队。</w:t>
      </w:r>
      <w:r>
        <w:rPr>
          <w:rFonts w:hint="eastAsia" w:ascii="仿宋_GB2312" w:hAnsi="仿宋_GB2312" w:eastAsia="仿宋_GB2312" w:cs="仿宋_GB2312"/>
          <w:sz w:val="32"/>
          <w:szCs w:val="32"/>
          <w:highlight w:val="none"/>
          <w:lang w:eastAsia="zh-CN"/>
        </w:rPr>
        <w:t>作为这一光荣使命的具体执行者，云浮市财政局预算科全体人员坚持以</w:t>
      </w:r>
      <w:r>
        <w:rPr>
          <w:rFonts w:hint="eastAsia" w:ascii="仿宋_GB2312" w:hAnsi="仿宋_GB2312" w:eastAsia="仿宋_GB2312" w:cs="仿宋_GB2312"/>
          <w:sz w:val="32"/>
          <w:szCs w:val="32"/>
          <w:highlight w:val="none"/>
          <w:lang w:val="en-US" w:eastAsia="zh-CN"/>
        </w:rPr>
        <w:t>习近平新时代</w:t>
      </w:r>
      <w:bookmarkStart w:id="0" w:name="_GoBack"/>
      <w:bookmarkEnd w:id="0"/>
      <w:r>
        <w:rPr>
          <w:rFonts w:hint="eastAsia" w:ascii="仿宋_GB2312" w:hAnsi="仿宋_GB2312" w:eastAsia="仿宋_GB2312" w:cs="仿宋_GB2312"/>
          <w:sz w:val="32"/>
          <w:szCs w:val="32"/>
          <w:highlight w:val="none"/>
          <w:lang w:eastAsia="zh-CN"/>
        </w:rPr>
        <w:t>中国特色社会主义思想为指导</w:t>
      </w:r>
      <w:r>
        <w:rPr>
          <w:rFonts w:hint="eastAsia" w:ascii="仿宋_GB2312" w:hAnsi="仿宋_GB2312" w:eastAsia="仿宋_GB2312" w:cs="仿宋_GB2312"/>
          <w:sz w:val="32"/>
          <w:szCs w:val="32"/>
          <w:highlight w:val="none"/>
          <w:lang w:val="en-US" w:eastAsia="zh-CN"/>
        </w:rPr>
        <w:t>，围绕落实省委、省政府“1310”具体部署，在省财政厅的关心支持下，</w:t>
      </w:r>
      <w:r>
        <w:rPr>
          <w:rFonts w:hint="eastAsia" w:ascii="仿宋_GB2312" w:hAnsi="仿宋_GB2312" w:eastAsia="仿宋_GB2312" w:cs="仿宋_GB2312"/>
          <w:sz w:val="32"/>
          <w:szCs w:val="32"/>
          <w:highlight w:val="none"/>
          <w:lang w:eastAsia="zh-CN"/>
        </w:rPr>
        <w:t>围绕“抓经济发展就要抓财政”的主线</w:t>
      </w:r>
      <w:r>
        <w:rPr>
          <w:rFonts w:hint="eastAsia" w:ascii="仿宋_GB2312" w:hAnsi="仿宋_GB2312" w:eastAsia="仿宋_GB2312" w:cs="仿宋_GB2312"/>
          <w:i w:val="0"/>
          <w:iCs w:val="0"/>
          <w:caps w:val="0"/>
          <w:color w:val="333333"/>
          <w:spacing w:val="0"/>
          <w:kern w:val="0"/>
          <w:sz w:val="32"/>
          <w:szCs w:val="32"/>
          <w:highlight w:val="none"/>
          <w:shd w:val="clear" w:color="auto" w:fill="FFFFFF"/>
          <w:lang w:val="en-US" w:eastAsia="zh-CN" w:bidi="ar"/>
        </w:rPr>
        <w:t>，</w:t>
      </w:r>
      <w:r>
        <w:rPr>
          <w:rFonts w:hint="eastAsia" w:ascii="仿宋_GB2312" w:hAnsi="仿宋_GB2312" w:eastAsia="仿宋_GB2312" w:cs="仿宋_GB2312"/>
          <w:sz w:val="32"/>
          <w:szCs w:val="32"/>
          <w:highlight w:val="none"/>
        </w:rPr>
        <w:t>以高质量的</w:t>
      </w:r>
      <w:r>
        <w:rPr>
          <w:rFonts w:hint="eastAsia" w:ascii="仿宋_GB2312" w:hAnsi="仿宋_GB2312" w:eastAsia="仿宋_GB2312" w:cs="仿宋_GB2312"/>
          <w:sz w:val="32"/>
          <w:szCs w:val="32"/>
          <w:highlight w:val="none"/>
          <w:lang w:eastAsia="zh-CN"/>
        </w:rPr>
        <w:t>财政收支、预算管理改革、防范化解财政领域风险等工作实效，</w:t>
      </w:r>
      <w:r>
        <w:rPr>
          <w:rFonts w:hint="eastAsia" w:ascii="仿宋_GB2312" w:hAnsi="仿宋_GB2312" w:eastAsia="仿宋_GB2312" w:cs="仿宋_GB2312"/>
          <w:sz w:val="32"/>
          <w:szCs w:val="32"/>
          <w:highlight w:val="none"/>
        </w:rPr>
        <w:t>为云浮经济社会高质量发展作出</w:t>
      </w:r>
      <w:r>
        <w:rPr>
          <w:rFonts w:hint="eastAsia" w:ascii="仿宋_GB2312" w:hAnsi="仿宋_GB2312" w:eastAsia="仿宋_GB2312" w:cs="仿宋_GB2312"/>
          <w:sz w:val="32"/>
          <w:szCs w:val="32"/>
          <w:highlight w:val="none"/>
          <w:lang w:eastAsia="zh-CN"/>
        </w:rPr>
        <w:t>了应有的</w:t>
      </w:r>
      <w:r>
        <w:rPr>
          <w:rFonts w:hint="eastAsia" w:ascii="仿宋_GB2312" w:hAnsi="仿宋_GB2312" w:eastAsia="仿宋_GB2312" w:cs="仿宋_GB2312"/>
          <w:sz w:val="32"/>
          <w:szCs w:val="32"/>
          <w:highlight w:val="none"/>
        </w:rPr>
        <w:t>贡献</w:t>
      </w:r>
      <w:r>
        <w:rPr>
          <w:rFonts w:hint="eastAsia" w:ascii="仿宋_GB2312" w:hAnsi="仿宋_GB2312" w:eastAsia="仿宋_GB2312" w:cs="仿宋_GB2312"/>
          <w:sz w:val="32"/>
          <w:szCs w:val="32"/>
          <w:highlight w:val="none"/>
          <w:lang w:eastAsia="zh-CN"/>
        </w:rPr>
        <w:t>。</w:t>
      </w:r>
    </w:p>
    <w:p w14:paraId="3B2C954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一、财政收入实现“双百亿”，创造建市以来最好成绩</w:t>
      </w:r>
    </w:p>
    <w:p w14:paraId="4D825B2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sz w:val="32"/>
          <w:szCs w:val="32"/>
          <w:highlight w:val="none"/>
          <w:lang w:eastAsia="zh-CN"/>
        </w:rPr>
      </w:pPr>
      <w:r>
        <w:rPr>
          <w:rFonts w:hint="eastAsia" w:ascii="仿宋_GB2312" w:hAnsi="仿宋_GB2312" w:eastAsia="仿宋_GB2312" w:cs="仿宋_GB2312"/>
          <w:sz w:val="32"/>
          <w:szCs w:val="32"/>
          <w:highlight w:val="none"/>
          <w:lang w:val="en-US" w:eastAsia="zh-CN"/>
        </w:rPr>
        <w:t>2022年</w:t>
      </w:r>
      <w:r>
        <w:rPr>
          <w:rFonts w:hint="eastAsia" w:ascii="仿宋_GB2312" w:hAnsi="仿宋_GB2312" w:eastAsia="仿宋_GB2312" w:cs="仿宋_GB2312"/>
          <w:kern w:val="2"/>
          <w:sz w:val="32"/>
          <w:szCs w:val="22"/>
          <w:highlight w:val="none"/>
          <w:lang w:val="en-US" w:eastAsia="zh-CN"/>
        </w:rPr>
        <w:t>，受疫情和国际局势变化等因素叠加影响，我市经济受到一定冲击，云浮市财政局预算科坚持树立“全市一盘棋”思想，</w:t>
      </w:r>
      <w:r>
        <w:rPr>
          <w:rFonts w:hint="eastAsia" w:ascii="仿宋_GB2312" w:hAnsi="仿宋_GB2312" w:eastAsia="仿宋_GB2312" w:cs="仿宋_GB2312"/>
          <w:sz w:val="32"/>
          <w:szCs w:val="32"/>
          <w:highlight w:val="none"/>
          <w:lang w:val="en-US" w:eastAsia="zh-CN"/>
        </w:rPr>
        <w:t>聚焦园区经济、镇域经济、资源经济“三大抓手”，千方百计组织收入，提升财政保障能力</w:t>
      </w:r>
      <w:r>
        <w:rPr>
          <w:rFonts w:hint="eastAsia" w:ascii="仿宋_GB2312" w:hAnsi="仿宋_GB2312" w:eastAsia="仿宋_GB2312" w:cs="仿宋_GB2312"/>
          <w:kern w:val="2"/>
          <w:sz w:val="32"/>
          <w:szCs w:val="22"/>
          <w:highlight w:val="none"/>
          <w:lang w:val="en-US" w:eastAsia="zh-CN"/>
        </w:rPr>
        <w:t>，为稳定经济大盘提供有力支撑。</w:t>
      </w:r>
      <w:r>
        <w:rPr>
          <w:rFonts w:hint="eastAsia" w:ascii="仿宋_GB2312" w:hAnsi="仿宋_GB2312" w:eastAsia="仿宋_GB2312" w:cs="仿宋_GB2312"/>
          <w:b/>
          <w:bCs/>
          <w:kern w:val="2"/>
          <w:sz w:val="32"/>
          <w:szCs w:val="22"/>
          <w:highlight w:val="none"/>
          <w:lang w:val="en-US" w:eastAsia="zh-CN"/>
        </w:rPr>
        <w:t>一是加强组织协调，</w:t>
      </w:r>
      <w:r>
        <w:rPr>
          <w:rFonts w:hint="eastAsia" w:ascii="仿宋_GB2312" w:hAnsi="仿宋_GB2312" w:eastAsia="仿宋_GB2312" w:cs="仿宋_GB2312"/>
          <w:kern w:val="2"/>
          <w:sz w:val="32"/>
          <w:szCs w:val="22"/>
          <w:highlight w:val="none"/>
          <w:lang w:val="en-US" w:eastAsia="zh-CN"/>
        </w:rPr>
        <w:t>组织各类矿产资源等一次性大宗非税收入入库，特别是谋划做好大宗矿产出让收益入库。经统计，2022年</w:t>
      </w:r>
      <w:r>
        <w:rPr>
          <w:rFonts w:hint="eastAsia" w:ascii="仿宋_GB2312" w:hAnsi="仿宋_GB2312" w:eastAsia="仿宋_GB2312" w:cs="仿宋_GB2312"/>
          <w:sz w:val="32"/>
          <w:szCs w:val="32"/>
          <w:highlight w:val="none"/>
          <w:lang w:val="en-US" w:eastAsia="zh-CN"/>
        </w:rPr>
        <w:t>我市完成矿产出让收入入库116亿元，分别为中央、省带来</w:t>
      </w:r>
      <w:r>
        <w:rPr>
          <w:rFonts w:hint="eastAsia" w:ascii="仿宋_GB2312" w:hAnsi="仿宋_GB2312" w:eastAsia="仿宋_GB2312" w:cs="仿宋_GB2312"/>
          <w:kern w:val="2"/>
          <w:sz w:val="32"/>
          <w:szCs w:val="22"/>
          <w:highlight w:val="none"/>
          <w:lang w:val="en-US" w:eastAsia="zh-CN"/>
        </w:rPr>
        <w:t>46.4</w:t>
      </w:r>
      <w:r>
        <w:rPr>
          <w:rFonts w:hint="eastAsia" w:ascii="仿宋_GB2312" w:hAnsi="仿宋_GB2312" w:eastAsia="仿宋_GB2312" w:cs="仿宋_GB2312"/>
          <w:sz w:val="32"/>
          <w:szCs w:val="32"/>
          <w:highlight w:val="none"/>
          <w:lang w:val="en-US" w:eastAsia="zh-CN"/>
        </w:rPr>
        <w:t>亿元、8.2亿元收益。</w:t>
      </w:r>
      <w:r>
        <w:rPr>
          <w:rFonts w:hint="eastAsia" w:ascii="仿宋_GB2312" w:hAnsi="仿宋_GB2312" w:eastAsia="仿宋_GB2312" w:cs="仿宋_GB2312"/>
          <w:b/>
          <w:bCs/>
          <w:kern w:val="2"/>
          <w:sz w:val="32"/>
          <w:szCs w:val="22"/>
          <w:highlight w:val="none"/>
          <w:lang w:val="en-US" w:eastAsia="zh-CN"/>
        </w:rPr>
        <w:t>二是强化收入预测</w:t>
      </w:r>
      <w:r>
        <w:rPr>
          <w:rFonts w:hint="eastAsia" w:ascii="仿宋_GB2312" w:hAnsi="仿宋_GB2312" w:eastAsia="仿宋_GB2312" w:cs="仿宋_GB2312"/>
          <w:kern w:val="2"/>
          <w:sz w:val="32"/>
          <w:szCs w:val="22"/>
          <w:highlight w:val="none"/>
          <w:lang w:val="en-US" w:eastAsia="zh-CN"/>
        </w:rPr>
        <w:t>，原则上按月初、月中各一报，视实施过程需要增加报送频次，了解大宗收入项目，统计一次性收入项目等，准确把握我市收入动态。</w:t>
      </w:r>
      <w:r>
        <w:rPr>
          <w:rFonts w:hint="eastAsia" w:ascii="仿宋_GB2312" w:hAnsi="仿宋_GB2312" w:eastAsia="仿宋_GB2312" w:cs="仿宋_GB2312"/>
          <w:b w:val="0"/>
          <w:bCs w:val="0"/>
          <w:kern w:val="2"/>
          <w:sz w:val="32"/>
          <w:szCs w:val="22"/>
          <w:highlight w:val="none"/>
          <w:lang w:val="en-US" w:eastAsia="zh-CN"/>
        </w:rPr>
        <w:t>2022年，我市地方</w:t>
      </w:r>
      <w:r>
        <w:rPr>
          <w:rFonts w:hint="eastAsia" w:ascii="仿宋_GB2312" w:hAnsi="仿宋_GB2312" w:eastAsia="仿宋_GB2312" w:cs="仿宋_GB2312"/>
          <w:kern w:val="2"/>
          <w:sz w:val="32"/>
          <w:szCs w:val="22"/>
          <w:highlight w:val="none"/>
          <w:lang w:val="en-US" w:eastAsia="zh-CN"/>
        </w:rPr>
        <w:t>一般公共预算收入100.41亿元，同比增长33.47%，上缴上级收入120.81亿元（同比增长79.03%），</w:t>
      </w:r>
      <w:r>
        <w:rPr>
          <w:rFonts w:hint="eastAsia" w:ascii="仿宋_GB2312" w:hAnsi="仿宋_GB2312" w:eastAsia="仿宋_GB2312" w:cs="仿宋_GB2312"/>
          <w:sz w:val="32"/>
          <w:szCs w:val="32"/>
          <w:highlight w:val="none"/>
          <w:lang w:val="en-US" w:eastAsia="zh-CN"/>
        </w:rPr>
        <w:t>创造云浮建市以来最好的成绩</w:t>
      </w:r>
      <w:r>
        <w:rPr>
          <w:rFonts w:hint="eastAsia" w:ascii="仿宋_GB2312" w:hAnsi="仿宋_GB2312" w:eastAsia="仿宋_GB2312" w:cs="仿宋_GB2312"/>
          <w:kern w:val="2"/>
          <w:sz w:val="32"/>
          <w:szCs w:val="22"/>
          <w:highlight w:val="none"/>
          <w:lang w:val="en-US" w:eastAsia="zh-CN"/>
        </w:rPr>
        <w:t>，</w:t>
      </w:r>
      <w:r>
        <w:rPr>
          <w:rFonts w:hint="eastAsia" w:ascii="黑体" w:hAnsi="黑体" w:eastAsia="黑体" w:cs="黑体"/>
          <w:b w:val="0"/>
          <w:bCs w:val="0"/>
          <w:sz w:val="32"/>
          <w:szCs w:val="32"/>
          <w:highlight w:val="none"/>
          <w:lang w:val="en-US" w:eastAsia="zh-CN"/>
        </w:rPr>
        <w:t>圆满完成财政收入“双百亿”目标</w:t>
      </w:r>
      <w:r>
        <w:rPr>
          <w:rFonts w:hint="eastAsia" w:ascii="黑体" w:hAnsi="黑体" w:eastAsia="黑体" w:cs="黑体"/>
          <w:b w:val="0"/>
          <w:bCs w:val="0"/>
          <w:sz w:val="32"/>
          <w:szCs w:val="32"/>
          <w:highlight w:val="none"/>
          <w:lang w:eastAsia="zh-CN"/>
        </w:rPr>
        <w:t>。</w:t>
      </w:r>
    </w:p>
    <w:p w14:paraId="6980473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二、紧跟省厅步伐，坚持过“紧日子”兜牢“三保”底线</w:t>
      </w:r>
    </w:p>
    <w:p w14:paraId="6C6D3C9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color w:val="auto"/>
          <w:sz w:val="32"/>
          <w:szCs w:val="32"/>
          <w:highlight w:val="none"/>
          <w:lang w:val="en-US" w:eastAsia="zh-CN"/>
        </w:rPr>
      </w:pPr>
      <w:r>
        <w:rPr>
          <w:rFonts w:hint="eastAsia" w:ascii="仿宋_GB2312" w:hAnsi="仿宋_GB2312" w:eastAsia="仿宋_GB2312" w:cs="仿宋_GB2312"/>
          <w:b w:val="0"/>
          <w:bCs/>
          <w:color w:val="auto"/>
          <w:sz w:val="32"/>
          <w:szCs w:val="32"/>
          <w:highlight w:val="none"/>
          <w:lang w:val="en-US" w:eastAsia="zh-CN"/>
        </w:rPr>
        <w:t>严格按照中央、省关于过“紧日子”要求，督促各地各部门要压减非必要非刚性支出，节省资金统筹用于保障“三保”。</w:t>
      </w:r>
      <w:r>
        <w:rPr>
          <w:rFonts w:hint="eastAsia" w:ascii="仿宋_GB2312" w:hAnsi="仿宋_GB2312" w:eastAsia="仿宋_GB2312" w:cs="仿宋_GB2312"/>
          <w:b/>
          <w:bCs w:val="0"/>
          <w:color w:val="auto"/>
          <w:sz w:val="32"/>
          <w:szCs w:val="32"/>
          <w:highlight w:val="none"/>
          <w:lang w:val="en-US" w:eastAsia="zh-CN"/>
        </w:rPr>
        <w:t>一是大力压减预算执行中的非重点、非刚性支出，</w:t>
      </w:r>
      <w:r>
        <w:rPr>
          <w:rFonts w:hint="eastAsia" w:ascii="仿宋_GB2312" w:hAnsi="仿宋_GB2312" w:eastAsia="仿宋_GB2312" w:cs="仿宋_GB2312"/>
          <w:b w:val="0"/>
          <w:bCs/>
          <w:color w:val="auto"/>
          <w:sz w:val="32"/>
          <w:szCs w:val="32"/>
          <w:highlight w:val="none"/>
          <w:lang w:val="en-US" w:eastAsia="zh-CN"/>
        </w:rPr>
        <w:t>2022年7月7日，</w:t>
      </w:r>
      <w:r>
        <w:rPr>
          <w:rFonts w:hint="eastAsia" w:ascii="仿宋_GB2312" w:hAnsi="仿宋_GB2312" w:eastAsia="仿宋_GB2312" w:cs="仿宋_GB2312"/>
          <w:b w:val="0"/>
          <w:bCs w:val="0"/>
          <w:sz w:val="32"/>
          <w:szCs w:val="32"/>
          <w:highlight w:val="none"/>
          <w:lang w:val="en-US" w:eastAsia="zh-CN"/>
        </w:rPr>
        <w:t>转发了《广东省财政厅关于贯彻落实过“紧日子”要求进一步加强和规范预算执行管理的通知》，明确要求</w:t>
      </w:r>
      <w:r>
        <w:rPr>
          <w:rFonts w:hint="eastAsia" w:ascii="仿宋_GB2312" w:hAnsi="仿宋_GB2312" w:eastAsia="仿宋_GB2312" w:cs="仿宋_GB2312"/>
          <w:b w:val="0"/>
          <w:bCs/>
          <w:color w:val="auto"/>
          <w:sz w:val="32"/>
          <w:szCs w:val="32"/>
          <w:highlight w:val="none"/>
          <w:lang w:val="en-US" w:eastAsia="zh-CN"/>
        </w:rPr>
        <w:t>市县两级部门一般性支出按不低于省定比例（5%）压减，严控会形成长期性、持续性的增人增支政策，量力而行并审慎稳妥安排财政支出。</w:t>
      </w:r>
      <w:r>
        <w:rPr>
          <w:rFonts w:hint="eastAsia" w:ascii="仿宋_GB2312" w:hAnsi="仿宋_GB2312" w:eastAsia="仿宋_GB2312" w:cs="仿宋_GB2312"/>
          <w:b w:val="0"/>
          <w:bCs w:val="0"/>
          <w:sz w:val="32"/>
          <w:szCs w:val="32"/>
          <w:highlight w:val="none"/>
          <w:lang w:val="en-US" w:eastAsia="zh-CN"/>
        </w:rPr>
        <w:t>经统计，2022年市直压减非必要、非刚性支出约6亿元。</w:t>
      </w:r>
      <w:r>
        <w:rPr>
          <w:rFonts w:hint="eastAsia" w:ascii="仿宋_GB2312" w:hAnsi="仿宋_GB2312" w:eastAsia="仿宋_GB2312" w:cs="仿宋_GB2312"/>
          <w:b/>
          <w:bCs w:val="0"/>
          <w:color w:val="auto"/>
          <w:sz w:val="32"/>
          <w:szCs w:val="32"/>
          <w:highlight w:val="none"/>
          <w:lang w:val="en-US" w:eastAsia="zh-CN"/>
        </w:rPr>
        <w:t>二是加大力度清理盘活存量闲置资金</w:t>
      </w:r>
      <w:r>
        <w:rPr>
          <w:rFonts w:hint="eastAsia" w:ascii="仿宋_GB2312" w:hAnsi="仿宋_GB2312" w:eastAsia="仿宋_GB2312" w:cs="仿宋_GB2312"/>
          <w:b w:val="0"/>
          <w:bCs/>
          <w:color w:val="auto"/>
          <w:sz w:val="32"/>
          <w:szCs w:val="32"/>
          <w:highlight w:val="none"/>
          <w:lang w:val="en-US" w:eastAsia="zh-CN"/>
        </w:rPr>
        <w:t>，除应急救灾、据实结算、按月拨付等资金外，当年9月底前未分配的当年度预算资金，原则上收回财政统筹，适时调整用于经济社会发展亟需支持的领域；结转结余2年以上的上级专项资金，一律收回统筹。</w:t>
      </w:r>
      <w:r>
        <w:rPr>
          <w:rFonts w:hint="eastAsia" w:ascii="仿宋_GB2312" w:hAnsi="仿宋_GB2312" w:eastAsia="仿宋_GB2312" w:cs="仿宋_GB2312"/>
          <w:b/>
          <w:bCs w:val="0"/>
          <w:color w:val="auto"/>
          <w:sz w:val="32"/>
          <w:szCs w:val="32"/>
          <w:highlight w:val="none"/>
          <w:lang w:val="en-US" w:eastAsia="zh-CN"/>
        </w:rPr>
        <w:t>三</w:t>
      </w:r>
      <w:r>
        <w:rPr>
          <w:rFonts w:hint="eastAsia" w:ascii="仿宋_GB2312" w:hAnsi="仿宋_GB2312" w:eastAsia="仿宋_GB2312" w:cs="仿宋_GB2312"/>
          <w:b/>
          <w:bCs w:val="0"/>
          <w:color w:val="auto"/>
          <w:spacing w:val="5"/>
          <w:sz w:val="32"/>
          <w:szCs w:val="32"/>
          <w:highlight w:val="none"/>
          <w:shd w:val="clear" w:color="auto" w:fill="FFFFFF"/>
          <w:lang w:eastAsia="zh-CN"/>
        </w:rPr>
        <w:t>是严格审核基层“三保”支出预算编制。</w:t>
      </w:r>
      <w:r>
        <w:rPr>
          <w:rFonts w:hint="eastAsia" w:ascii="仿宋_GB2312" w:hAnsi="仿宋_GB2312" w:eastAsia="仿宋_GB2312" w:cs="仿宋_GB2312"/>
          <w:b w:val="0"/>
          <w:bCs w:val="0"/>
          <w:color w:val="auto"/>
          <w:kern w:val="2"/>
          <w:sz w:val="32"/>
          <w:szCs w:val="32"/>
          <w:highlight w:val="none"/>
          <w:lang w:val="en-US" w:eastAsia="zh-CN" w:bidi="ar-SA"/>
        </w:rPr>
        <w:t>按照“县级为主、市级帮扶、省级兜底、中央激励”原则，</w:t>
      </w:r>
      <w:r>
        <w:rPr>
          <w:rFonts w:hint="eastAsia" w:ascii="仿宋_GB2312" w:hAnsi="仿宋_GB2312" w:eastAsia="仿宋_GB2312" w:cs="仿宋_GB2312"/>
          <w:sz w:val="32"/>
          <w:szCs w:val="32"/>
          <w:highlight w:val="none"/>
          <w:lang w:val="en-US" w:eastAsia="zh-CN"/>
        </w:rPr>
        <w:t>参照省级“三保”预算审核规则，对各地提交的基础数据和保障标准严格把关，并明确基层“三保”范围必须对标对表上级文件，</w:t>
      </w:r>
      <w:r>
        <w:rPr>
          <w:rFonts w:hint="eastAsia" w:ascii="仿宋_GB2312" w:hAnsi="仿宋_GB2312" w:eastAsia="仿宋_GB2312" w:cs="仿宋_GB2312"/>
          <w:b w:val="0"/>
          <w:bCs w:val="0"/>
          <w:color w:val="auto"/>
          <w:kern w:val="2"/>
          <w:sz w:val="32"/>
          <w:szCs w:val="32"/>
          <w:highlight w:val="none"/>
          <w:lang w:val="en-US" w:eastAsia="zh-CN" w:bidi="ar-SA"/>
        </w:rPr>
        <w:t>进一步加大市级把控能力，压实县级主体责任，基层“三保”保障有力。</w:t>
      </w:r>
      <w:r>
        <w:rPr>
          <w:rFonts w:hint="eastAsia" w:ascii="黑体" w:hAnsi="黑体" w:eastAsia="黑体" w:cs="黑体"/>
          <w:b w:val="0"/>
          <w:bCs w:val="0"/>
          <w:color w:val="auto"/>
          <w:kern w:val="2"/>
          <w:sz w:val="32"/>
          <w:szCs w:val="32"/>
          <w:highlight w:val="none"/>
          <w:lang w:val="en-US" w:eastAsia="zh-CN" w:bidi="ar-SA"/>
        </w:rPr>
        <w:t>2022年，我市市县两级均未发生过“三保”风险。</w:t>
      </w:r>
    </w:p>
    <w:p w14:paraId="410F2E5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三、深化预算管理改革，建立健全预算管理体制机制</w:t>
      </w:r>
    </w:p>
    <w:p w14:paraId="38492F3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pacing w:val="5"/>
          <w:sz w:val="32"/>
          <w:szCs w:val="32"/>
          <w:highlight w:val="none"/>
          <w:shd w:val="clear" w:color="auto" w:fill="FFFFFF"/>
        </w:rPr>
      </w:pPr>
      <w:r>
        <w:rPr>
          <w:rFonts w:hint="eastAsia" w:ascii="仿宋_GB2312" w:hAnsi="仿宋_GB2312" w:eastAsia="仿宋_GB2312" w:cs="仿宋_GB2312"/>
          <w:b w:val="0"/>
          <w:bCs w:val="0"/>
          <w:color w:val="auto"/>
          <w:kern w:val="2"/>
          <w:sz w:val="32"/>
          <w:szCs w:val="32"/>
          <w:highlight w:val="none"/>
          <w:lang w:val="en-US" w:eastAsia="zh-CN" w:bidi="ar-SA"/>
        </w:rPr>
        <w:t>在财政实力弱、财力增量有限等形势下，云浮市财政局预算科不断创新管理模式，多举措推动优化财力格局。</w:t>
      </w:r>
      <w:r>
        <w:rPr>
          <w:rFonts w:hint="eastAsia" w:ascii="仿宋_GB2312" w:hAnsi="仿宋_GB2312" w:eastAsia="仿宋_GB2312" w:cs="仿宋_GB2312"/>
          <w:b/>
          <w:bCs/>
          <w:color w:val="auto"/>
          <w:kern w:val="2"/>
          <w:sz w:val="32"/>
          <w:szCs w:val="32"/>
          <w:highlight w:val="none"/>
          <w:lang w:val="en-US" w:eastAsia="zh-CN" w:bidi="ar-SA"/>
        </w:rPr>
        <w:t>一</w:t>
      </w:r>
      <w:r>
        <w:rPr>
          <w:rFonts w:hint="eastAsia" w:ascii="仿宋_GB2312" w:hAnsi="仿宋_GB2312" w:eastAsia="仿宋_GB2312" w:cs="仿宋_GB2312"/>
          <w:b/>
          <w:bCs w:val="0"/>
          <w:color w:val="auto"/>
          <w:spacing w:val="5"/>
          <w:sz w:val="32"/>
          <w:szCs w:val="32"/>
          <w:highlight w:val="none"/>
          <w:shd w:val="clear" w:color="auto" w:fill="FFFFFF"/>
        </w:rPr>
        <w:t>是创新设立区域均衡协调发展资金</w:t>
      </w:r>
      <w:r>
        <w:rPr>
          <w:rFonts w:hint="eastAsia" w:ascii="仿宋_GB2312" w:hAnsi="仿宋_GB2312" w:eastAsia="仿宋_GB2312" w:cs="仿宋_GB2312"/>
          <w:b w:val="0"/>
          <w:bCs/>
          <w:color w:val="auto"/>
          <w:spacing w:val="5"/>
          <w:sz w:val="32"/>
          <w:szCs w:val="32"/>
          <w:highlight w:val="none"/>
          <w:shd w:val="clear" w:color="auto" w:fill="FFFFFF"/>
          <w:lang w:eastAsia="zh-CN"/>
        </w:rPr>
        <w:t>。</w:t>
      </w:r>
      <w:r>
        <w:rPr>
          <w:rFonts w:hint="eastAsia" w:ascii="仿宋_GB2312" w:hAnsi="仿宋_GB2312" w:eastAsia="仿宋_GB2312" w:cs="仿宋_GB2312"/>
          <w:bCs/>
          <w:color w:val="auto"/>
          <w:spacing w:val="5"/>
          <w:sz w:val="32"/>
          <w:szCs w:val="32"/>
          <w:highlight w:val="none"/>
          <w:shd w:val="clear" w:color="auto" w:fill="FFFFFF"/>
          <w:lang w:val="en-US" w:eastAsia="zh-CN"/>
        </w:rPr>
        <w:t>2022年7月印发了《关于做好区域均衡协调发展资金使用计划的</w:t>
      </w:r>
      <w:r>
        <w:rPr>
          <w:rFonts w:hint="eastAsia" w:ascii="仿宋_GB2312" w:hAnsi="仿宋_GB2312" w:eastAsia="仿宋_GB2312" w:cs="仿宋_GB2312"/>
          <w:b w:val="0"/>
          <w:bCs/>
          <w:color w:val="auto"/>
          <w:spacing w:val="5"/>
          <w:sz w:val="32"/>
          <w:szCs w:val="32"/>
          <w:highlight w:val="none"/>
          <w:shd w:val="clear" w:color="auto" w:fill="FFFFFF"/>
          <w:lang w:val="en-US" w:eastAsia="zh-CN"/>
        </w:rPr>
        <w:t>通知》，</w:t>
      </w:r>
      <w:r>
        <w:rPr>
          <w:rFonts w:hint="eastAsia" w:ascii="仿宋_GB2312" w:hAnsi="仿宋_GB2312" w:eastAsia="仿宋_GB2312" w:cs="仿宋_GB2312"/>
          <w:b w:val="0"/>
          <w:bCs w:val="0"/>
          <w:color w:val="auto"/>
          <w:kern w:val="2"/>
          <w:sz w:val="32"/>
          <w:szCs w:val="32"/>
          <w:highlight w:val="none"/>
          <w:lang w:val="en-US" w:eastAsia="zh-CN" w:bidi="ar-SA"/>
        </w:rPr>
        <w:t>将市县两级按分成比例缴库的矿业权出让收益纳入地方当年新增综合财力，在上述财力中市县各出资50%共同筹集设立市区域均衡协调发展资金，</w:t>
      </w:r>
      <w:r>
        <w:rPr>
          <w:rFonts w:hint="eastAsia" w:ascii="仿宋_GB2312" w:hAnsi="仿宋_GB2312" w:eastAsia="仿宋_GB2312" w:cs="仿宋_GB2312"/>
          <w:b w:val="0"/>
          <w:bCs/>
          <w:color w:val="auto"/>
          <w:spacing w:val="5"/>
          <w:sz w:val="32"/>
          <w:szCs w:val="32"/>
          <w:highlight w:val="none"/>
          <w:shd w:val="clear" w:color="auto" w:fill="FFFFFF"/>
        </w:rPr>
        <w:t>用于财力薄弱地区转移支付、临时救助及民生补短板，增强市级统筹能力，提升区域间发展的平衡性、协调性</w:t>
      </w:r>
      <w:r>
        <w:rPr>
          <w:rFonts w:hint="eastAsia" w:ascii="仿宋_GB2312" w:hAnsi="仿宋_GB2312" w:eastAsia="仿宋_GB2312" w:cs="仿宋_GB2312"/>
          <w:b w:val="0"/>
          <w:bCs/>
          <w:color w:val="auto"/>
          <w:spacing w:val="5"/>
          <w:sz w:val="32"/>
          <w:szCs w:val="32"/>
          <w:highlight w:val="none"/>
          <w:shd w:val="clear" w:color="auto" w:fill="FFFFFF"/>
          <w:lang w:eastAsia="zh-CN"/>
        </w:rPr>
        <w:t>，</w:t>
      </w:r>
      <w:r>
        <w:rPr>
          <w:rFonts w:hint="eastAsia" w:ascii="仿宋_GB2312" w:hAnsi="仿宋_GB2312" w:eastAsia="仿宋_GB2312" w:cs="仿宋_GB2312"/>
          <w:b w:val="0"/>
          <w:bCs w:val="0"/>
          <w:sz w:val="32"/>
          <w:szCs w:val="32"/>
          <w:highlight w:val="none"/>
          <w:lang w:val="en-US" w:eastAsia="zh-CN"/>
        </w:rPr>
        <w:t>充分发挥新增财政资金效益，</w:t>
      </w:r>
      <w:r>
        <w:rPr>
          <w:rFonts w:hint="eastAsia" w:ascii="仿宋_GB2312" w:hAnsi="仿宋_GB2312" w:eastAsia="仿宋_GB2312" w:cs="仿宋_GB2312"/>
          <w:sz w:val="32"/>
          <w:szCs w:val="32"/>
          <w:highlight w:val="none"/>
          <w:lang w:val="en-US" w:eastAsia="zh-CN"/>
        </w:rPr>
        <w:t>有效帮助云城区、罗定市应对经济下行带来的影响，缓解财政收支运行压力以及防范化解债务风险。</w:t>
      </w:r>
      <w:r>
        <w:rPr>
          <w:rFonts w:hint="eastAsia" w:ascii="仿宋_GB2312" w:hAnsi="仿宋_GB2312" w:eastAsia="仿宋_GB2312" w:cs="仿宋_GB2312"/>
          <w:b/>
          <w:bCs w:val="0"/>
          <w:color w:val="auto"/>
          <w:spacing w:val="5"/>
          <w:sz w:val="32"/>
          <w:szCs w:val="32"/>
          <w:highlight w:val="none"/>
          <w:shd w:val="clear" w:color="auto" w:fill="FFFFFF"/>
        </w:rPr>
        <w:t>二是</w:t>
      </w:r>
      <w:r>
        <w:rPr>
          <w:rFonts w:hint="eastAsia" w:ascii="仿宋_GB2312" w:hAnsi="仿宋_GB2312" w:eastAsia="仿宋_GB2312" w:cs="仿宋_GB2312"/>
          <w:b/>
          <w:bCs w:val="0"/>
          <w:color w:val="auto"/>
          <w:spacing w:val="5"/>
          <w:sz w:val="32"/>
          <w:szCs w:val="32"/>
          <w:highlight w:val="none"/>
          <w:shd w:val="clear" w:color="auto" w:fill="FFFFFF"/>
          <w:lang w:val="en-US" w:eastAsia="zh-CN"/>
        </w:rPr>
        <w:tab/>
      </w:r>
      <w:r>
        <w:rPr>
          <w:rFonts w:hint="eastAsia" w:ascii="仿宋_GB2312" w:hAnsi="仿宋_GB2312" w:eastAsia="仿宋_GB2312" w:cs="仿宋_GB2312"/>
          <w:b/>
          <w:bCs w:val="0"/>
          <w:color w:val="auto"/>
          <w:spacing w:val="5"/>
          <w:sz w:val="32"/>
          <w:szCs w:val="32"/>
          <w:highlight w:val="none"/>
          <w:shd w:val="clear" w:color="auto" w:fill="FFFFFF"/>
        </w:rPr>
        <w:t>深化预算管理改革</w:t>
      </w:r>
      <w:r>
        <w:rPr>
          <w:rFonts w:hint="eastAsia" w:ascii="仿宋_GB2312" w:hAnsi="仿宋_GB2312" w:eastAsia="仿宋_GB2312" w:cs="仿宋_GB2312"/>
          <w:b w:val="0"/>
          <w:bCs/>
          <w:color w:val="auto"/>
          <w:spacing w:val="5"/>
          <w:sz w:val="32"/>
          <w:szCs w:val="32"/>
          <w:highlight w:val="none"/>
          <w:shd w:val="clear" w:color="auto" w:fill="FFFFFF"/>
        </w:rPr>
        <w:t>。</w:t>
      </w:r>
      <w:r>
        <w:rPr>
          <w:rFonts w:hint="eastAsia" w:ascii="仿宋_GB2312" w:hAnsi="仿宋_GB2312" w:eastAsia="仿宋_GB2312" w:cs="仿宋_GB2312"/>
          <w:bCs/>
          <w:color w:val="auto"/>
          <w:spacing w:val="5"/>
          <w:sz w:val="32"/>
          <w:szCs w:val="32"/>
          <w:highlight w:val="none"/>
          <w:shd w:val="clear" w:color="auto" w:fill="FFFFFF"/>
          <w:lang w:val="en-US" w:eastAsia="zh-CN"/>
        </w:rPr>
        <w:t>印发</w:t>
      </w:r>
      <w:r>
        <w:rPr>
          <w:rFonts w:hint="eastAsia" w:ascii="仿宋_GB2312" w:hAnsi="仿宋_GB2312" w:eastAsia="仿宋_GB2312" w:cs="仿宋_GB2312"/>
          <w:bCs/>
          <w:color w:val="auto"/>
          <w:spacing w:val="5"/>
          <w:sz w:val="32"/>
          <w:szCs w:val="32"/>
          <w:highlight w:val="none"/>
          <w:shd w:val="clear" w:color="auto" w:fill="FFFFFF"/>
          <w:lang w:eastAsia="zh-CN"/>
        </w:rPr>
        <w:t>《关于深化预算管理改革切实提高市级年初预算到位率和资金使用效益的通知》</w:t>
      </w:r>
      <w:r>
        <w:rPr>
          <w:rFonts w:hint="eastAsia" w:ascii="仿宋_GB2312" w:hAnsi="仿宋_GB2312" w:eastAsia="仿宋_GB2312" w:cs="仿宋_GB2312"/>
          <w:bCs/>
          <w:color w:val="auto"/>
          <w:spacing w:val="5"/>
          <w:sz w:val="32"/>
          <w:szCs w:val="32"/>
          <w:highlight w:val="none"/>
          <w:shd w:val="clear" w:color="auto" w:fill="FFFFFF"/>
          <w:lang w:val="en-US" w:eastAsia="zh-CN"/>
        </w:rPr>
        <w:t>，</w:t>
      </w:r>
      <w:r>
        <w:rPr>
          <w:rFonts w:hint="eastAsia" w:ascii="仿宋_GB2312" w:hAnsi="仿宋_GB2312" w:eastAsia="仿宋_GB2312" w:cs="仿宋_GB2312"/>
          <w:b w:val="0"/>
          <w:bCs/>
          <w:color w:val="auto"/>
          <w:spacing w:val="5"/>
          <w:sz w:val="32"/>
          <w:szCs w:val="32"/>
          <w:highlight w:val="none"/>
          <w:shd w:val="clear" w:color="auto" w:fill="FFFFFF"/>
        </w:rPr>
        <w:t>建立以项目为重点的预算管理</w:t>
      </w:r>
      <w:r>
        <w:rPr>
          <w:rFonts w:hint="eastAsia" w:ascii="仿宋_GB2312" w:hAnsi="仿宋_GB2312" w:eastAsia="仿宋_GB2312" w:cs="仿宋_GB2312"/>
          <w:bCs/>
          <w:color w:val="auto"/>
          <w:spacing w:val="5"/>
          <w:sz w:val="32"/>
          <w:szCs w:val="32"/>
          <w:highlight w:val="none"/>
          <w:shd w:val="clear" w:color="auto" w:fill="FFFFFF"/>
        </w:rPr>
        <w:t>模式，做到带项目申请预算，推动市级项目的资金年初预算到位率达到90%</w:t>
      </w:r>
      <w:r>
        <w:rPr>
          <w:rFonts w:hint="eastAsia" w:ascii="仿宋_GB2312" w:hAnsi="仿宋_GB2312" w:eastAsia="仿宋_GB2312" w:cs="仿宋_GB2312"/>
          <w:bCs/>
          <w:color w:val="auto"/>
          <w:spacing w:val="5"/>
          <w:sz w:val="32"/>
          <w:szCs w:val="32"/>
          <w:highlight w:val="none"/>
          <w:shd w:val="clear" w:color="auto" w:fill="FFFFFF"/>
          <w:lang w:eastAsia="zh-CN"/>
        </w:rPr>
        <w:t>以上</w:t>
      </w:r>
      <w:r>
        <w:rPr>
          <w:rFonts w:hint="eastAsia" w:ascii="仿宋_GB2312" w:hAnsi="仿宋_GB2312" w:eastAsia="仿宋_GB2312" w:cs="仿宋_GB2312"/>
          <w:bCs/>
          <w:color w:val="auto"/>
          <w:spacing w:val="5"/>
          <w:sz w:val="32"/>
          <w:szCs w:val="32"/>
          <w:highlight w:val="none"/>
          <w:shd w:val="clear" w:color="auto" w:fill="FFFFFF"/>
        </w:rPr>
        <w:t>，切实提高预算执行效率和资金使用效益</w:t>
      </w:r>
      <w:r>
        <w:rPr>
          <w:rFonts w:hint="eastAsia" w:ascii="仿宋_GB2312" w:hAnsi="仿宋_GB2312" w:eastAsia="仿宋_GB2312" w:cs="仿宋_GB2312"/>
          <w:bCs/>
          <w:color w:val="auto"/>
          <w:spacing w:val="5"/>
          <w:sz w:val="32"/>
          <w:szCs w:val="32"/>
          <w:highlight w:val="none"/>
          <w:shd w:val="clear" w:color="auto" w:fill="FFFFFF"/>
          <w:lang w:eastAsia="zh-CN"/>
        </w:rPr>
        <w:t>。据统计，</w:t>
      </w:r>
      <w:r>
        <w:rPr>
          <w:rFonts w:hint="eastAsia" w:ascii="仿宋_GB2312" w:hAnsi="仿宋_GB2312" w:eastAsia="仿宋_GB2312" w:cs="仿宋_GB2312"/>
          <w:bCs/>
          <w:color w:val="auto"/>
          <w:spacing w:val="5"/>
          <w:sz w:val="32"/>
          <w:szCs w:val="32"/>
          <w:highlight w:val="none"/>
          <w:shd w:val="clear" w:color="auto" w:fill="FFFFFF"/>
        </w:rPr>
        <w:t>2022年市直年初预算到位率达到95%</w:t>
      </w:r>
      <w:r>
        <w:rPr>
          <w:rFonts w:hint="eastAsia" w:ascii="仿宋_GB2312" w:hAnsi="仿宋_GB2312" w:eastAsia="仿宋_GB2312" w:cs="仿宋_GB2312"/>
          <w:bCs/>
          <w:color w:val="auto"/>
          <w:spacing w:val="5"/>
          <w:sz w:val="32"/>
          <w:szCs w:val="32"/>
          <w:highlight w:val="none"/>
          <w:shd w:val="clear" w:color="auto" w:fill="FFFFFF"/>
          <w:lang w:eastAsia="zh-CN"/>
        </w:rPr>
        <w:t>。</w:t>
      </w:r>
      <w:r>
        <w:rPr>
          <w:rFonts w:hint="eastAsia" w:ascii="仿宋_GB2312" w:hAnsi="仿宋_GB2312" w:eastAsia="仿宋_GB2312" w:cs="仿宋_GB2312"/>
          <w:b/>
          <w:bCs w:val="0"/>
          <w:color w:val="auto"/>
          <w:spacing w:val="5"/>
          <w:sz w:val="32"/>
          <w:szCs w:val="32"/>
          <w:highlight w:val="none"/>
          <w:shd w:val="clear" w:color="auto" w:fill="FFFFFF"/>
          <w:lang w:eastAsia="zh-CN"/>
        </w:rPr>
        <w:t>三</w:t>
      </w:r>
      <w:r>
        <w:rPr>
          <w:rFonts w:hint="eastAsia" w:ascii="仿宋_GB2312" w:hAnsi="仿宋_GB2312" w:eastAsia="仿宋_GB2312" w:cs="仿宋_GB2312"/>
          <w:b/>
          <w:bCs w:val="0"/>
          <w:color w:val="auto"/>
          <w:spacing w:val="5"/>
          <w:sz w:val="32"/>
          <w:szCs w:val="32"/>
          <w:highlight w:val="none"/>
          <w:shd w:val="clear" w:color="auto" w:fill="FFFFFF"/>
        </w:rPr>
        <w:t>是</w:t>
      </w:r>
      <w:r>
        <w:rPr>
          <w:rFonts w:hint="eastAsia" w:ascii="仿宋_GB2312" w:hAnsi="仿宋_GB2312" w:eastAsia="仿宋_GB2312" w:cs="仿宋_GB2312"/>
          <w:b/>
          <w:bCs w:val="0"/>
          <w:color w:val="auto"/>
          <w:spacing w:val="5"/>
          <w:sz w:val="32"/>
          <w:szCs w:val="32"/>
          <w:highlight w:val="none"/>
          <w:shd w:val="clear" w:color="auto" w:fill="FFFFFF"/>
          <w:lang w:eastAsia="zh-CN"/>
        </w:rPr>
        <w:t>进一步推进省以下财政体制改革。</w:t>
      </w:r>
      <w:r>
        <w:rPr>
          <w:rFonts w:hint="eastAsia" w:ascii="仿宋_GB2312" w:hAnsi="仿宋_GB2312" w:eastAsia="仿宋_GB2312" w:cs="仿宋_GB2312"/>
          <w:bCs/>
          <w:color w:val="auto"/>
          <w:spacing w:val="5"/>
          <w:sz w:val="32"/>
          <w:szCs w:val="32"/>
          <w:highlight w:val="none"/>
          <w:shd w:val="clear" w:color="auto" w:fill="FFFFFF"/>
          <w:lang w:eastAsia="zh-CN"/>
        </w:rPr>
        <w:t>持续</w:t>
      </w:r>
      <w:r>
        <w:rPr>
          <w:rFonts w:hint="eastAsia" w:ascii="仿宋_GB2312" w:hAnsi="仿宋_GB2312" w:eastAsia="仿宋_GB2312" w:cs="仿宋_GB2312"/>
          <w:bCs/>
          <w:color w:val="auto"/>
          <w:spacing w:val="5"/>
          <w:sz w:val="32"/>
          <w:szCs w:val="32"/>
          <w:highlight w:val="none"/>
          <w:shd w:val="clear" w:color="auto" w:fill="FFFFFF"/>
        </w:rPr>
        <w:t>完善市与区财</w:t>
      </w:r>
      <w:r>
        <w:rPr>
          <w:rFonts w:hint="eastAsia" w:ascii="仿宋_GB2312" w:hAnsi="仿宋_GB2312" w:eastAsia="仿宋_GB2312" w:cs="仿宋_GB2312"/>
          <w:bCs/>
          <w:color w:val="auto"/>
          <w:spacing w:val="5"/>
          <w:sz w:val="32"/>
          <w:szCs w:val="32"/>
          <w:highlight w:val="none"/>
          <w:shd w:val="clear" w:color="auto" w:fill="FFFFFF"/>
          <w:lang w:eastAsia="zh-CN"/>
        </w:rPr>
        <w:t>政</w:t>
      </w:r>
      <w:r>
        <w:rPr>
          <w:rFonts w:hint="eastAsia" w:ascii="仿宋_GB2312" w:hAnsi="仿宋_GB2312" w:eastAsia="仿宋_GB2312" w:cs="仿宋_GB2312"/>
          <w:bCs/>
          <w:color w:val="auto"/>
          <w:spacing w:val="5"/>
          <w:sz w:val="32"/>
          <w:szCs w:val="32"/>
          <w:highlight w:val="none"/>
          <w:shd w:val="clear" w:color="auto" w:fill="FFFFFF"/>
        </w:rPr>
        <w:t>体制</w:t>
      </w:r>
      <w:r>
        <w:rPr>
          <w:rFonts w:hint="eastAsia" w:ascii="仿宋_GB2312" w:hAnsi="仿宋_GB2312" w:eastAsia="仿宋_GB2312" w:cs="仿宋_GB2312"/>
          <w:bCs/>
          <w:color w:val="auto"/>
          <w:spacing w:val="5"/>
          <w:sz w:val="32"/>
          <w:szCs w:val="32"/>
          <w:highlight w:val="none"/>
          <w:shd w:val="clear" w:color="auto" w:fill="FFFFFF"/>
          <w:lang w:eastAsia="zh-CN"/>
        </w:rPr>
        <w:t>，</w:t>
      </w:r>
      <w:r>
        <w:rPr>
          <w:rFonts w:hint="eastAsia" w:ascii="仿宋_GB2312" w:hAnsi="仿宋_GB2312" w:eastAsia="仿宋_GB2312" w:cs="仿宋_GB2312"/>
          <w:bCs/>
          <w:color w:val="auto"/>
          <w:spacing w:val="5"/>
          <w:sz w:val="32"/>
          <w:szCs w:val="32"/>
          <w:highlight w:val="none"/>
          <w:shd w:val="clear" w:color="auto" w:fill="FFFFFF"/>
        </w:rPr>
        <w:t>落实对</w:t>
      </w:r>
      <w:r>
        <w:rPr>
          <w:rFonts w:hint="eastAsia" w:ascii="仿宋_GB2312" w:hAnsi="仿宋_GB2312" w:eastAsia="仿宋_GB2312" w:cs="仿宋_GB2312"/>
          <w:bCs/>
          <w:color w:val="auto"/>
          <w:spacing w:val="5"/>
          <w:sz w:val="32"/>
          <w:szCs w:val="32"/>
          <w:highlight w:val="none"/>
          <w:shd w:val="clear" w:color="auto" w:fill="FFFFFF"/>
          <w:lang w:eastAsia="zh-CN"/>
        </w:rPr>
        <w:t>城区</w:t>
      </w:r>
      <w:r>
        <w:rPr>
          <w:rFonts w:hint="eastAsia" w:ascii="仿宋_GB2312" w:hAnsi="仿宋_GB2312" w:eastAsia="仿宋_GB2312" w:cs="仿宋_GB2312"/>
          <w:bCs/>
          <w:color w:val="auto"/>
          <w:spacing w:val="5"/>
          <w:sz w:val="32"/>
          <w:szCs w:val="32"/>
          <w:highlight w:val="none"/>
          <w:shd w:val="clear" w:color="auto" w:fill="FFFFFF"/>
        </w:rPr>
        <w:t>的保障主体责任</w:t>
      </w:r>
      <w:r>
        <w:rPr>
          <w:rFonts w:hint="eastAsia" w:ascii="仿宋_GB2312" w:hAnsi="仿宋_GB2312" w:eastAsia="仿宋_GB2312" w:cs="仿宋_GB2312"/>
          <w:bCs/>
          <w:color w:val="auto"/>
          <w:spacing w:val="5"/>
          <w:sz w:val="32"/>
          <w:szCs w:val="32"/>
          <w:highlight w:val="none"/>
          <w:shd w:val="clear" w:color="auto" w:fill="FFFFFF"/>
          <w:lang w:eastAsia="zh-CN"/>
        </w:rPr>
        <w:t>，</w:t>
      </w:r>
      <w:r>
        <w:rPr>
          <w:rFonts w:hint="eastAsia" w:ascii="仿宋_GB2312" w:hAnsi="仿宋_GB2312" w:eastAsia="仿宋_GB2312" w:cs="仿宋_GB2312"/>
          <w:bCs/>
          <w:color w:val="auto"/>
          <w:spacing w:val="5"/>
          <w:sz w:val="32"/>
          <w:szCs w:val="32"/>
          <w:highlight w:val="none"/>
          <w:shd w:val="clear" w:color="auto" w:fill="FFFFFF"/>
        </w:rPr>
        <w:t>理顺事权支出责任，加大对市辖区支持力度，通过固定财力补助形式保障机构改革下划两区人员基本支出，</w:t>
      </w:r>
      <w:r>
        <w:rPr>
          <w:rFonts w:hint="eastAsia" w:ascii="仿宋_GB2312" w:hAnsi="仿宋_GB2312" w:eastAsia="仿宋_GB2312" w:cs="仿宋_GB2312"/>
          <w:bCs/>
          <w:color w:val="auto"/>
          <w:spacing w:val="5"/>
          <w:sz w:val="32"/>
          <w:szCs w:val="32"/>
          <w:highlight w:val="none"/>
          <w:shd w:val="clear" w:color="auto" w:fill="FFFFFF"/>
          <w:lang w:eastAsia="zh-CN"/>
        </w:rPr>
        <w:t>其中：云城区</w:t>
      </w:r>
      <w:r>
        <w:rPr>
          <w:rFonts w:hint="eastAsia" w:ascii="仿宋_GB2312" w:hAnsi="仿宋_GB2312" w:eastAsia="仿宋_GB2312" w:cs="仿宋_GB2312"/>
          <w:bCs/>
          <w:color w:val="auto"/>
          <w:spacing w:val="5"/>
          <w:sz w:val="32"/>
          <w:szCs w:val="32"/>
          <w:highlight w:val="none"/>
          <w:shd w:val="clear" w:color="auto" w:fill="FFFFFF"/>
          <w:lang w:val="en-US" w:eastAsia="zh-CN"/>
        </w:rPr>
        <w:t>0.54亿元、云安区0.18亿元，</w:t>
      </w:r>
      <w:r>
        <w:rPr>
          <w:rFonts w:hint="eastAsia" w:ascii="仿宋_GB2312" w:hAnsi="仿宋_GB2312" w:eastAsia="仿宋_GB2312" w:cs="仿宋_GB2312"/>
          <w:bCs/>
          <w:color w:val="auto"/>
          <w:spacing w:val="5"/>
          <w:sz w:val="32"/>
          <w:szCs w:val="32"/>
          <w:highlight w:val="none"/>
          <w:shd w:val="clear" w:color="auto" w:fill="FFFFFF"/>
        </w:rPr>
        <w:t>下沉财力保障两区“三保”。</w:t>
      </w:r>
    </w:p>
    <w:p w14:paraId="6DCF0B4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四、预算绩效管理工作有突破，获上级财政部门表扬</w:t>
      </w:r>
    </w:p>
    <w:p w14:paraId="16CAAF3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在绩效管理工作中对标全省财政管理工作绩效考核方案，提前谋划，通过采取合理编制年初收支预算，大力清理盘活存量资金、严格做好预决算公开等措施，优化各项考核指标。</w:t>
      </w:r>
      <w:r>
        <w:rPr>
          <w:rFonts w:hint="eastAsia" w:ascii="仿宋_GB2312" w:hAnsi="仿宋_GB2312" w:eastAsia="仿宋_GB2312" w:cs="仿宋_GB2312"/>
          <w:b/>
          <w:bCs/>
          <w:sz w:val="32"/>
          <w:szCs w:val="32"/>
          <w:highlight w:val="none"/>
          <w:lang w:val="en-US" w:eastAsia="zh-CN"/>
        </w:rPr>
        <w:t>一方面，</w:t>
      </w:r>
      <w:r>
        <w:rPr>
          <w:rFonts w:hint="eastAsia" w:ascii="仿宋_GB2312" w:hAnsi="仿宋_GB2312" w:eastAsia="仿宋_GB2312" w:cs="仿宋_GB2312"/>
          <w:b w:val="0"/>
          <w:bCs w:val="0"/>
          <w:sz w:val="32"/>
          <w:szCs w:val="32"/>
          <w:highlight w:val="none"/>
          <w:lang w:val="en-US" w:eastAsia="zh-CN"/>
        </w:rPr>
        <w:t>针对历史问题加大整改，</w:t>
      </w:r>
      <w:r>
        <w:rPr>
          <w:rFonts w:hint="eastAsia" w:ascii="仿宋_GB2312" w:hAnsi="仿宋_GB2312" w:eastAsia="仿宋_GB2312" w:cs="仿宋_GB2312"/>
          <w:sz w:val="32"/>
          <w:szCs w:val="32"/>
          <w:highlight w:val="none"/>
          <w:lang w:val="en-US" w:eastAsia="zh-CN"/>
        </w:rPr>
        <w:t>对2021年度考核不理想的指标，认真梳理、全面掌握，对标先进补齐短板，确保在2022年度考核中有实质性提高。</w:t>
      </w:r>
      <w:r>
        <w:rPr>
          <w:rFonts w:hint="eastAsia" w:ascii="仿宋_GB2312" w:hAnsi="仿宋_GB2312" w:eastAsia="仿宋_GB2312" w:cs="仿宋_GB2312"/>
          <w:b/>
          <w:bCs/>
          <w:sz w:val="32"/>
          <w:szCs w:val="32"/>
          <w:highlight w:val="none"/>
          <w:lang w:val="en-US" w:eastAsia="zh-CN"/>
        </w:rPr>
        <w:t>另一方面，</w:t>
      </w:r>
      <w:r>
        <w:rPr>
          <w:rFonts w:hint="eastAsia" w:ascii="仿宋_GB2312" w:hAnsi="仿宋_GB2312" w:eastAsia="仿宋_GB2312" w:cs="仿宋_GB2312"/>
          <w:b w:val="0"/>
          <w:bCs w:val="0"/>
          <w:sz w:val="32"/>
          <w:szCs w:val="32"/>
          <w:highlight w:val="none"/>
          <w:lang w:val="en-US" w:eastAsia="zh-CN"/>
        </w:rPr>
        <w:t>对于绩效管理加强分析，</w:t>
      </w:r>
      <w:r>
        <w:rPr>
          <w:rFonts w:hint="eastAsia" w:ascii="仿宋_GB2312" w:hAnsi="仿宋_GB2312" w:eastAsia="仿宋_GB2312" w:cs="仿宋_GB2312"/>
          <w:sz w:val="32"/>
          <w:szCs w:val="32"/>
          <w:highlight w:val="none"/>
          <w:lang w:val="en-US" w:eastAsia="zh-CN"/>
        </w:rPr>
        <w:t>切实做好规范预算编制执行、优化支出结构、增强财政可持续性、加大预决算等工作，狠抓县级财政绩效管理工作不放松，持续推进我市县级财政管理走在全省前列。</w:t>
      </w:r>
      <w:r>
        <w:rPr>
          <w:rFonts w:hint="eastAsia" w:ascii="仿宋_GB2312" w:hAnsi="仿宋_GB2312" w:eastAsia="仿宋_GB2312" w:cs="仿宋_GB2312"/>
          <w:b/>
          <w:bCs/>
          <w:sz w:val="32"/>
          <w:szCs w:val="32"/>
          <w:highlight w:val="none"/>
          <w:lang w:val="en-US" w:eastAsia="zh-CN"/>
        </w:rPr>
        <w:t>近两年来，</w:t>
      </w:r>
      <w:r>
        <w:rPr>
          <w:rFonts w:hint="eastAsia" w:ascii="仿宋_GB2312" w:hAnsi="仿宋_GB2312" w:eastAsia="仿宋_GB2312" w:cs="仿宋_GB2312"/>
          <w:sz w:val="32"/>
          <w:szCs w:val="32"/>
          <w:highlight w:val="none"/>
          <w:lang w:val="en-US" w:eastAsia="zh-CN"/>
        </w:rPr>
        <w:t>在财政部县级财政管理绩效综合评价中，每年都有两个县进入全国前200名，获得财政部和省财政厅的通报表扬和专项奖励；在</w:t>
      </w:r>
      <w:r>
        <w:rPr>
          <w:rFonts w:hint="eastAsia" w:ascii="仿宋_GB2312" w:hAnsi="仿宋_GB2312" w:eastAsia="仿宋_GB2312" w:cs="仿宋_GB2312"/>
          <w:color w:val="auto"/>
          <w:sz w:val="32"/>
          <w:szCs w:val="32"/>
          <w:highlight w:val="none"/>
          <w:lang w:val="en-US" w:eastAsia="zh-CN"/>
        </w:rPr>
        <w:t>2021年我市</w:t>
      </w:r>
      <w:r>
        <w:rPr>
          <w:rFonts w:hint="eastAsia" w:ascii="仿宋_GB2312" w:hAnsi="仿宋_GB2312" w:eastAsia="仿宋_GB2312" w:cs="仿宋_GB2312"/>
          <w:b w:val="0"/>
          <w:bCs w:val="0"/>
          <w:color w:val="auto"/>
          <w:kern w:val="2"/>
          <w:sz w:val="32"/>
          <w:szCs w:val="32"/>
          <w:highlight w:val="none"/>
          <w:lang w:val="en-US" w:eastAsia="zh-CN" w:bidi="ar-SA"/>
        </w:rPr>
        <w:t>财政保障均衡度水平在全省13个参评地区排名第1位，获得省财政奖补资金</w:t>
      </w:r>
      <w:r>
        <w:rPr>
          <w:rFonts w:hint="eastAsia" w:ascii="仿宋_GB2312" w:hAnsi="仿宋_GB2312" w:eastAsia="仿宋_GB2312" w:cs="仿宋_GB2312"/>
          <w:sz w:val="32"/>
          <w:szCs w:val="32"/>
          <w:highlight w:val="none"/>
          <w:lang w:val="en-US" w:eastAsia="zh-CN"/>
        </w:rPr>
        <w:t>。</w:t>
      </w:r>
    </w:p>
    <w:p w14:paraId="0FBEBCF3">
      <w:pPr>
        <w:pStyle w:val="3"/>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下来，</w:t>
      </w:r>
      <w:r>
        <w:rPr>
          <w:rFonts w:hint="eastAsia" w:ascii="仿宋_GB2312" w:hAnsi="仿宋_GB2312" w:eastAsia="仿宋_GB2312" w:cs="仿宋_GB2312"/>
          <w:kern w:val="2"/>
          <w:sz w:val="32"/>
          <w:szCs w:val="22"/>
          <w:highlight w:val="none"/>
          <w:lang w:val="en-US" w:eastAsia="zh-CN"/>
        </w:rPr>
        <w:t>云浮市财政局预算科将紧紧围绕局党组中心工作，紧跟省财政厅工作步伐，加强财政收支管理，</w:t>
      </w:r>
      <w:r>
        <w:rPr>
          <w:rFonts w:hint="eastAsia" w:ascii="仿宋_GB2312" w:hAnsi="仿宋_GB2312" w:eastAsia="仿宋_GB2312" w:cs="仿宋_GB2312"/>
          <w:color w:val="auto"/>
          <w:sz w:val="32"/>
          <w:szCs w:val="32"/>
          <w:highlight w:val="none"/>
          <w:lang w:eastAsia="zh-CN"/>
        </w:rPr>
        <w:t>做好兜底线和增福祉，</w:t>
      </w:r>
      <w:r>
        <w:rPr>
          <w:rFonts w:hint="eastAsia" w:ascii="仿宋_GB2312" w:hAnsi="仿宋_GB2312" w:eastAsia="仿宋_GB2312" w:cs="仿宋_GB2312"/>
          <w:kern w:val="2"/>
          <w:sz w:val="32"/>
          <w:szCs w:val="22"/>
          <w:highlight w:val="none"/>
          <w:lang w:val="en-US" w:eastAsia="zh-CN"/>
        </w:rPr>
        <w:t>进一步深化财政体制改革，</w:t>
      </w:r>
      <w:r>
        <w:rPr>
          <w:rFonts w:hint="eastAsia" w:ascii="仿宋_GB2312" w:hAnsi="仿宋_GB2312" w:eastAsia="仿宋_GB2312" w:cs="仿宋_GB2312"/>
          <w:color w:val="auto"/>
          <w:sz w:val="32"/>
          <w:szCs w:val="32"/>
          <w:highlight w:val="none"/>
          <w:lang w:eastAsia="zh-CN"/>
        </w:rPr>
        <w:t>贯彻实施好积极的财政政策，着力在提质增效上下更大功夫，更好发挥财政政策效能</w:t>
      </w:r>
      <w:r>
        <w:rPr>
          <w:rFonts w:hint="eastAsia" w:ascii="仿宋_GB2312" w:hAnsi="仿宋_GB2312" w:eastAsia="仿宋_GB2312" w:cs="仿宋_GB2312"/>
          <w:color w:val="auto"/>
          <w:sz w:val="32"/>
          <w:szCs w:val="32"/>
          <w:highlight w:val="none"/>
          <w:u w:val="none"/>
          <w:shd w:val="clear" w:color="auto" w:fill="auto"/>
          <w:lang w:val="en-US" w:eastAsia="zh-CN" w:bidi="ar"/>
        </w:rPr>
        <w:t>！</w:t>
      </w:r>
    </w:p>
    <w:p w14:paraId="1494F10B">
      <w:pPr>
        <w:rPr>
          <w:rFonts w:hint="eastAsia"/>
          <w:lang w:val="en-US" w:eastAsia="zh-CN"/>
        </w:rPr>
      </w:pPr>
    </w:p>
    <w:sectPr>
      <w:pgSz w:w="11906" w:h="16838"/>
      <w:pgMar w:top="1474" w:right="1474"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roid Sans">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C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CESI仿宋-GB18030">
    <w:altName w:val="仿宋"/>
    <w:panose1 w:val="02000500000000000000"/>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3NGJhZDMyOTRjODAzYzY3MGQ5YmZlZTE4YmM3M2YifQ=="/>
  </w:docVars>
  <w:rsids>
    <w:rsidRoot w:val="789E696B"/>
    <w:rsid w:val="05B71726"/>
    <w:rsid w:val="08920989"/>
    <w:rsid w:val="099056C3"/>
    <w:rsid w:val="0D297B19"/>
    <w:rsid w:val="162768B0"/>
    <w:rsid w:val="166C3D55"/>
    <w:rsid w:val="1AED7D0F"/>
    <w:rsid w:val="1B3F4FAC"/>
    <w:rsid w:val="1EFD18E8"/>
    <w:rsid w:val="2B1F2FD8"/>
    <w:rsid w:val="2F5D523D"/>
    <w:rsid w:val="357A5153"/>
    <w:rsid w:val="3C0621C9"/>
    <w:rsid w:val="3E531498"/>
    <w:rsid w:val="3FD7935F"/>
    <w:rsid w:val="42F746E0"/>
    <w:rsid w:val="44A74614"/>
    <w:rsid w:val="54A439AB"/>
    <w:rsid w:val="5CE50A08"/>
    <w:rsid w:val="60DB5373"/>
    <w:rsid w:val="67034CEC"/>
    <w:rsid w:val="692F6C18"/>
    <w:rsid w:val="6BFF7D16"/>
    <w:rsid w:val="6DD67367"/>
    <w:rsid w:val="6F67354B"/>
    <w:rsid w:val="789E696B"/>
    <w:rsid w:val="7A9543C2"/>
    <w:rsid w:val="7C977EEE"/>
    <w:rsid w:val="7E957BA1"/>
    <w:rsid w:val="C8FE749C"/>
    <w:rsid w:val="D38FD28D"/>
    <w:rsid w:val="E77C40E5"/>
    <w:rsid w:val="F938BF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c 2"/>
    <w:basedOn w:val="1"/>
    <w:next w:val="1"/>
    <w:qFormat/>
    <w:uiPriority w:val="0"/>
    <w:pPr>
      <w:widowControl w:val="0"/>
      <w:ind w:left="200" w:leftChars="200"/>
      <w:jc w:val="both"/>
    </w:pPr>
    <w:rPr>
      <w:rFonts w:ascii="Times New Roman" w:hAnsi="Times New Roman" w:eastAsia="宋体" w:cs="Droid Sans"/>
      <w:kern w:val="2"/>
      <w:sz w:val="21"/>
      <w:szCs w:val="22"/>
      <w:lang w:val="en-US" w:eastAsia="zh-CN" w:bidi="ar-SA"/>
    </w:rPr>
  </w:style>
  <w:style w:type="paragraph" w:styleId="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4">
    <w:name w:val="Normal (Web)"/>
    <w:basedOn w:val="1"/>
    <w:qFormat/>
    <w:uiPriority w:val="0"/>
    <w:rPr>
      <w:sz w:val="24"/>
    </w:rPr>
  </w:style>
  <w:style w:type="character" w:styleId="7">
    <w:name w:val="Strong"/>
    <w:basedOn w:val="6"/>
    <w:qFormat/>
    <w:uiPriority w:val="0"/>
    <w:rPr>
      <w:b/>
    </w:rPr>
  </w:style>
  <w:style w:type="paragraph" w:customStyle="1" w:styleId="8">
    <w:name w:val="TOC2"/>
    <w:basedOn w:val="1"/>
    <w:next w:val="1"/>
    <w:qFormat/>
    <w:uiPriority w:val="0"/>
    <w:pPr>
      <w:ind w:left="420" w:leftChars="200"/>
      <w:textAlignment w:val="baseline"/>
    </w:pPr>
  </w:style>
  <w:style w:type="paragraph" w:customStyle="1" w:styleId="9">
    <w:name w:val="正文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rPr>
  </w:style>
  <w:style w:type="paragraph" w:customStyle="1" w:styleId="10">
    <w:name w:val="p15"/>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2184</Words>
  <Characters>2264</Characters>
  <Lines>0</Lines>
  <Paragraphs>0</Paragraphs>
  <TotalTime>1</TotalTime>
  <ScaleCrop>false</ScaleCrop>
  <LinksUpToDate>false</LinksUpToDate>
  <CharactersWithSpaces>2266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2023-11-07T09:03:00Z</dcterms:created>
  <dc:creator>曾伟根</dc:creator>
  <cp:lastModifiedBy>Administrator</cp:lastModifiedBy>
  <dcterms:modified xsi:type="dcterms:W3CDTF">2025-01-17T07:04:48Z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13A28F2B0DDB46E9A0ED3C2DAF72CE09_13</vt:lpwstr>
  </property>
  <property fmtid="{D5CDD505-2E9C-101B-9397-08002B2CF9AE}" pid="4" name="KSOTemplateDocerSaveRecord">
    <vt:lpwstr>eyJoZGlkIjoiMGY3NGJhZDMyOTRjODAzYzY3MGQ5YmZlZTE4YmM3M2YifQ==</vt:lpwstr>
  </property>
</Properties>
</file>