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云浮市医疗保障局贯彻落实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广东省医疗保障局关于公布“药物基因多态性检测”等转归医疗服务价格项目的通知（征求意见稿）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各县（市）医疗保障局、社会保险基金管理局、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医保中心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市医疗保障局云城分局、云安分局，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市社会保险基金管理局云城分局、云安分局，市医保中心，各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医疗机构、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定点医疗机构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广东省医疗保障局关于公布“药物基因多态性检测”等转归医疗服务价格项目的通知》（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粤医保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〔2024〕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转发给你们，并提出以下要求，请一并贯彻落实：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公布“药物基因多态性检测”等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56项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医疗服务价格项目的政府指导价和纳入基本医疗服务价格项目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粤医保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〔2024〕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规定，结合我市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定价原则，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定我市公立医疗机构“药物基因多态性检测”等56项医疗服务价格项目的政府指导价（详见附件1），并纳入我市基本医疗服务价格项目。我市公立医疗机构在不超过《云浮市“药物基因多态性检测”等56项医疗服务价格项目价格表》规定的范围内自主确定具体医疗服务价格，不得上浮，下浮不限,并按要求做好价格信息公开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二、增加市场调节价医疗服务价格项目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Nimbus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粤医保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〔2024〕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规定，将“葡萄糖-6-磷酸脱氢酶基因突变检测”等12项医疗服务价格项目纳入市场调节价医疗服务价格项目（详见附件2）。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三、停用部分试行新增医疗服务价格项目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粤医保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〔2024〕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规定，停用“营养风险筛查”等161项广东省原试行新增医疗服务价格项目（详见附件3）。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本通知自2024年12月30日起实施，有效期到2029年12月29日止。凡原政策文件与本通知不符的，以本通知为准。如遇国家或省出台新政策，按新政策执行。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8" w:leftChars="304" w:hanging="1280" w:hanging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附件：1.云浮市“药物基因多态性检测”等56项医疗服务价格项目价格表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6" w:leftChars="760" w:hanging="320" w:hangingChars="1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2.纳入市场调节价医疗服务价格项目表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6" w:leftChars="760" w:hanging="320" w:hangingChars="1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3.广东省2024年停用医疗服务价格项目表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6" w:leftChars="760" w:hanging="320" w:hangingChars="1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4.广东省医疗保障局关于公布“药物基因多态性检测”等转归医疗服务价格项目的通知（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粤医保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〔2024〕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云浮市医疗保障局2024年12月  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（联系人：洪文驹，联系电话：8869806）</w:t>
      </w:r>
    </w:p>
    <w:sectPr>
      <w:pgSz w:w="11906" w:h="16838"/>
      <w:pgMar w:top="1814" w:right="1531" w:bottom="1701" w:left="1531" w:header="851" w:footer="992" w:gutter="0"/>
      <w:cols w:space="0" w:num="1"/>
      <w:rtlGutter w:val="0"/>
      <w:docGrid w:type="lines" w:linePitch="44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imbus Roman">
    <w:altName w:val="方正宋体S-超大字符集(SIP)"/>
    <w:panose1 w:val="00000500000000000000"/>
    <w:charset w:val="00"/>
    <w:family w:val="auto"/>
    <w:pitch w:val="default"/>
    <w:sig w:usb0="00000000" w:usb1="00000000" w:usb2="00000000" w:usb3="00000000" w:csb0="6000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I2YTk4OGVhZjU0OTg5ZTU3ZDQ1NGM5ZjM5ZDgifQ=="/>
    <w:docVar w:name="KSO_WPS_MARK_KEY" w:val="ab27ed71-b0c8-42eb-b61f-5c7be78caab4"/>
  </w:docVars>
  <w:rsids>
    <w:rsidRoot w:val="59560828"/>
    <w:rsid w:val="00652C0D"/>
    <w:rsid w:val="148A2068"/>
    <w:rsid w:val="1B8739D4"/>
    <w:rsid w:val="210579A2"/>
    <w:rsid w:val="2D781259"/>
    <w:rsid w:val="326418F3"/>
    <w:rsid w:val="338E211D"/>
    <w:rsid w:val="37FB2C20"/>
    <w:rsid w:val="3CB74FFC"/>
    <w:rsid w:val="43E4469D"/>
    <w:rsid w:val="46F8475F"/>
    <w:rsid w:val="4AF26D8C"/>
    <w:rsid w:val="5752DF84"/>
    <w:rsid w:val="59560828"/>
    <w:rsid w:val="66B11759"/>
    <w:rsid w:val="6C9B6925"/>
    <w:rsid w:val="6EF638AC"/>
    <w:rsid w:val="706D24E0"/>
    <w:rsid w:val="7389057D"/>
    <w:rsid w:val="7D910730"/>
    <w:rsid w:val="FFFD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759</Words>
  <Characters>809</Characters>
  <Lines>0</Lines>
  <Paragraphs>0</Paragraphs>
  <TotalTime>21</TotalTime>
  <ScaleCrop>false</ScaleCrop>
  <LinksUpToDate>false</LinksUpToDate>
  <CharactersWithSpaces>814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2024-09-03T10:47:00Z</dcterms:created>
  <dc:creator>王锐清</dc:creator>
  <cp:lastModifiedBy>user1</cp:lastModifiedBy>
  <cp:lastPrinted>2024-12-02T08:57:00Z</cp:lastPrinted>
  <dcterms:modified xsi:type="dcterms:W3CDTF">2024-12-02T18:37:07Z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1FF80390249243139BD06E627C852178_11</vt:lpwstr>
  </property>
</Properties>
</file>