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300" w:lineRule="exact"/>
        <w:jc w:val="center"/>
        <w:rPr>
          <w:rFonts w:hint="eastAsia" w:ascii="宋体" w:hAnsi="宋体" w:eastAsia="宋体"/>
          <w:snapToGrid w:val="0"/>
          <w:color w:val="auto"/>
          <w:kern w:val="0"/>
        </w:rPr>
      </w:pPr>
      <w:r>
        <w:rPr>
          <w:rFonts w:ascii="宋体" w:hAnsi="宋体" w:eastAsia="宋体"/>
          <w:snapToGrid w:val="0"/>
          <w:color w:val="auto"/>
          <w:kern w:val="0"/>
        </w:rPr>
        <w:t>第三章  评标办法</w:t>
      </w:r>
      <w:r>
        <w:rPr>
          <w:rFonts w:hint="eastAsia" w:ascii="宋体" w:hAnsi="宋体" w:eastAsia="宋体"/>
          <w:snapToGrid w:val="0"/>
          <w:color w:val="auto"/>
          <w:kern w:val="0"/>
        </w:rPr>
        <w:t>（双信封的合理低价法）</w:t>
      </w:r>
    </w:p>
    <w:p>
      <w:pPr>
        <w:pStyle w:val="3"/>
        <w:spacing w:line="300" w:lineRule="exact"/>
        <w:jc w:val="center"/>
        <w:rPr>
          <w:rFonts w:hint="eastAsia" w:ascii="宋体" w:hAnsi="宋体"/>
          <w:snapToGrid w:val="0"/>
          <w:color w:val="auto"/>
          <w:kern w:val="0"/>
          <w:sz w:val="30"/>
          <w:szCs w:val="30"/>
        </w:rPr>
      </w:pPr>
      <w:bookmarkStart w:id="0" w:name="_Toc250758993"/>
      <w:bookmarkStart w:id="1" w:name="_Toc254967627"/>
      <w:bookmarkStart w:id="2" w:name="_Toc22580"/>
      <w:r>
        <w:rPr>
          <w:rFonts w:ascii="宋体" w:hAnsi="宋体"/>
          <w:snapToGrid w:val="0"/>
          <w:color w:val="auto"/>
          <w:kern w:val="0"/>
          <w:sz w:val="30"/>
          <w:szCs w:val="30"/>
        </w:rPr>
        <w:t>评标办法前附表（双信封的合理低价法）</w:t>
      </w:r>
      <w:bookmarkEnd w:id="0"/>
      <w:bookmarkEnd w:id="1"/>
      <w:bookmarkEnd w:id="2"/>
    </w:p>
    <w:tbl>
      <w:tblPr>
        <w:tblStyle w:val="5"/>
        <w:tblW w:w="1070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1"/>
        <w:gridCol w:w="1009"/>
        <w:gridCol w:w="87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1" w:hRule="atLeast"/>
          <w:tblHeader/>
          <w:jc w:val="center"/>
        </w:trPr>
        <w:tc>
          <w:tcPr>
            <w:tcW w:w="1940" w:type="dxa"/>
            <w:gridSpan w:val="2"/>
            <w:vAlign w:val="center"/>
          </w:tcPr>
          <w:p>
            <w:pPr>
              <w:spacing w:line="360" w:lineRule="exact"/>
              <w:jc w:val="center"/>
              <w:rPr>
                <w:rFonts w:hint="eastAsia" w:ascii="宋体" w:hAnsi="宋体"/>
                <w:b/>
                <w:snapToGrid w:val="0"/>
                <w:color w:val="auto"/>
                <w:kern w:val="0"/>
                <w:sz w:val="24"/>
              </w:rPr>
            </w:pPr>
            <w:r>
              <w:rPr>
                <w:rFonts w:hint="eastAsia" w:ascii="宋体" w:hAnsi="宋体"/>
                <w:b/>
                <w:snapToGrid w:val="0"/>
                <w:color w:val="auto"/>
                <w:kern w:val="0"/>
                <w:sz w:val="24"/>
              </w:rPr>
              <w:t>条款号</w:t>
            </w:r>
          </w:p>
        </w:tc>
        <w:tc>
          <w:tcPr>
            <w:tcW w:w="8764" w:type="dxa"/>
            <w:vAlign w:val="center"/>
          </w:tcPr>
          <w:p>
            <w:pPr>
              <w:spacing w:line="360" w:lineRule="exact"/>
              <w:jc w:val="center"/>
              <w:rPr>
                <w:rFonts w:hint="eastAsia" w:ascii="宋体" w:hAnsi="宋体"/>
                <w:b/>
                <w:snapToGrid w:val="0"/>
                <w:color w:val="auto"/>
                <w:kern w:val="0"/>
                <w:sz w:val="24"/>
              </w:rPr>
            </w:pPr>
            <w:r>
              <w:rPr>
                <w:rFonts w:hint="eastAsia" w:ascii="宋体" w:hAnsi="宋体"/>
                <w:b/>
                <w:snapToGrid w:val="0"/>
                <w:color w:val="auto"/>
                <w:kern w:val="0"/>
                <w:sz w:val="24"/>
              </w:rPr>
              <w:t>评审因素与标准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89" w:hRule="atLeast"/>
          <w:jc w:val="center"/>
        </w:trPr>
        <w:tc>
          <w:tcPr>
            <w:tcW w:w="931" w:type="dxa"/>
            <w:vAlign w:val="center"/>
          </w:tcPr>
          <w:p>
            <w:pPr>
              <w:spacing w:line="360" w:lineRule="exact"/>
              <w:jc w:val="center"/>
              <w:rPr>
                <w:rFonts w:ascii="宋体" w:hAnsi="宋体"/>
                <w:snapToGrid w:val="0"/>
                <w:color w:val="auto"/>
                <w:kern w:val="0"/>
                <w:sz w:val="24"/>
                <w:szCs w:val="24"/>
              </w:rPr>
            </w:pPr>
            <w:r>
              <w:rPr>
                <w:rFonts w:ascii="宋体" w:hAnsi="宋体"/>
                <w:snapToGrid w:val="0"/>
                <w:color w:val="auto"/>
                <w:kern w:val="0"/>
                <w:sz w:val="24"/>
                <w:szCs w:val="24"/>
              </w:rPr>
              <w:t>2.1.1</w:t>
            </w:r>
          </w:p>
          <w:p>
            <w:pPr>
              <w:spacing w:line="360" w:lineRule="exact"/>
              <w:jc w:val="center"/>
              <w:rPr>
                <w:rFonts w:ascii="宋体" w:hAnsi="宋体"/>
                <w:snapToGrid w:val="0"/>
                <w:color w:val="auto"/>
                <w:kern w:val="0"/>
                <w:sz w:val="24"/>
                <w:szCs w:val="24"/>
              </w:rPr>
            </w:pPr>
            <w:r>
              <w:rPr>
                <w:rFonts w:ascii="宋体" w:hAnsi="宋体"/>
                <w:snapToGrid w:val="0"/>
                <w:color w:val="auto"/>
                <w:kern w:val="0"/>
                <w:sz w:val="24"/>
                <w:szCs w:val="24"/>
              </w:rPr>
              <w:t>2.1.3</w:t>
            </w:r>
          </w:p>
        </w:tc>
        <w:tc>
          <w:tcPr>
            <w:tcW w:w="1009" w:type="dxa"/>
            <w:vAlign w:val="center"/>
          </w:tcPr>
          <w:p>
            <w:pPr>
              <w:spacing w:line="360" w:lineRule="exact"/>
              <w:rPr>
                <w:rFonts w:hint="eastAsia" w:ascii="宋体" w:hAnsi="宋体"/>
                <w:snapToGrid w:val="0"/>
                <w:color w:val="auto"/>
                <w:kern w:val="0"/>
                <w:sz w:val="24"/>
                <w:szCs w:val="24"/>
              </w:rPr>
            </w:pPr>
            <w:r>
              <w:rPr>
                <w:rFonts w:ascii="宋体" w:hAnsi="宋体"/>
                <w:snapToGrid w:val="0"/>
                <w:color w:val="auto"/>
                <w:kern w:val="0"/>
                <w:sz w:val="24"/>
                <w:szCs w:val="24"/>
              </w:rPr>
              <w:t>形式评审与响应性评审标准</w:t>
            </w:r>
          </w:p>
          <w:p>
            <w:pPr>
              <w:spacing w:line="360" w:lineRule="exact"/>
              <w:rPr>
                <w:rFonts w:hint="eastAsia" w:ascii="宋体" w:hAnsi="宋体"/>
                <w:snapToGrid w:val="0"/>
                <w:color w:val="auto"/>
                <w:kern w:val="0"/>
                <w:sz w:val="24"/>
                <w:szCs w:val="24"/>
              </w:rPr>
            </w:pPr>
          </w:p>
          <w:p>
            <w:pPr>
              <w:spacing w:line="360" w:lineRule="exact"/>
              <w:rPr>
                <w:rFonts w:ascii="宋体" w:hAnsi="宋体"/>
                <w:snapToGrid w:val="0"/>
                <w:color w:val="auto"/>
                <w:kern w:val="0"/>
                <w:sz w:val="24"/>
                <w:szCs w:val="24"/>
              </w:rPr>
            </w:pPr>
            <w:r>
              <w:rPr>
                <w:rFonts w:hint="eastAsia" w:ascii="宋体" w:hAnsi="宋体"/>
                <w:snapToGrid w:val="0"/>
                <w:color w:val="auto"/>
                <w:kern w:val="0"/>
                <w:sz w:val="24"/>
                <w:szCs w:val="24"/>
              </w:rPr>
              <w:t>（</w:t>
            </w:r>
            <w:r>
              <w:rPr>
                <w:rFonts w:hint="eastAsia"/>
                <w:b/>
                <w:color w:val="auto"/>
                <w:sz w:val="24"/>
                <w:szCs w:val="24"/>
              </w:rPr>
              <w:t>即：第一个信封（商务文件）评审）</w:t>
            </w:r>
          </w:p>
        </w:tc>
        <w:tc>
          <w:tcPr>
            <w:tcW w:w="8764" w:type="dxa"/>
            <w:vAlign w:val="top"/>
          </w:tcPr>
          <w:p>
            <w:pPr>
              <w:autoSpaceDE w:val="0"/>
              <w:autoSpaceDN w:val="0"/>
              <w:adjustRightInd w:val="0"/>
              <w:spacing w:before="37" w:line="340" w:lineRule="exact"/>
              <w:jc w:val="left"/>
              <w:rPr>
                <w:rFonts w:hint="eastAsia" w:ascii="宋体" w:hAnsi="宋体" w:cs="宋体"/>
                <w:color w:val="auto"/>
                <w:kern w:val="0"/>
                <w:sz w:val="24"/>
                <w:szCs w:val="24"/>
              </w:rPr>
            </w:pPr>
            <w:r>
              <w:rPr>
                <w:rFonts w:hint="eastAsia"/>
                <w:b/>
                <w:color w:val="auto"/>
                <w:sz w:val="24"/>
                <w:szCs w:val="24"/>
              </w:rPr>
              <w:t>第一个信封（商务文件）评审：</w:t>
            </w:r>
          </w:p>
          <w:p>
            <w:pPr>
              <w:autoSpaceDE w:val="0"/>
              <w:autoSpaceDN w:val="0"/>
              <w:adjustRightInd w:val="0"/>
              <w:spacing w:before="37" w:line="340" w:lineRule="exact"/>
              <w:jc w:val="left"/>
              <w:rPr>
                <w:rFonts w:ascii="宋体" w:hAnsi="宋体" w:cs="宋体"/>
                <w:color w:val="auto"/>
                <w:kern w:val="0"/>
                <w:sz w:val="24"/>
                <w:szCs w:val="24"/>
              </w:rPr>
            </w:pPr>
            <w:r>
              <w:rPr>
                <w:rFonts w:hint="eastAsia" w:ascii="宋体" w:hAnsi="宋体" w:cs="宋体"/>
                <w:color w:val="auto"/>
                <w:kern w:val="0"/>
                <w:sz w:val="24"/>
                <w:szCs w:val="24"/>
              </w:rPr>
              <w:t>(1)投标文件按照招标文件规定的格式、内容填写，字迹清晰可辨：</w:t>
            </w:r>
            <w:r>
              <w:rPr>
                <w:rFonts w:ascii="宋体" w:hAnsi="宋体" w:cs="宋体"/>
                <w:color w:val="auto"/>
                <w:kern w:val="0"/>
                <w:sz w:val="24"/>
                <w:szCs w:val="24"/>
              </w:rPr>
              <w:t xml:space="preserve"> </w:t>
            </w:r>
          </w:p>
          <w:p>
            <w:pPr>
              <w:autoSpaceDE w:val="0"/>
              <w:autoSpaceDN w:val="0"/>
              <w:adjustRightInd w:val="0"/>
              <w:spacing w:before="37" w:line="340" w:lineRule="exact"/>
              <w:ind w:left="273" w:leftChars="130"/>
              <w:jc w:val="left"/>
              <w:rPr>
                <w:rFonts w:hint="eastAsia" w:ascii="宋体" w:hAnsi="宋体" w:cs="宋体"/>
                <w:color w:val="auto"/>
                <w:kern w:val="0"/>
                <w:sz w:val="24"/>
                <w:szCs w:val="24"/>
              </w:rPr>
            </w:pPr>
            <w:r>
              <w:rPr>
                <w:rFonts w:hint="eastAsia" w:ascii="宋体" w:hAnsi="宋体" w:cs="宋体"/>
                <w:color w:val="auto"/>
                <w:kern w:val="0"/>
                <w:sz w:val="24"/>
                <w:szCs w:val="24"/>
              </w:rPr>
              <w:t xml:space="preserve">a.投标函按招标文件规定填报了工期及工程质量目标； </w:t>
            </w:r>
          </w:p>
          <w:p>
            <w:pPr>
              <w:autoSpaceDE w:val="0"/>
              <w:autoSpaceDN w:val="0"/>
              <w:adjustRightInd w:val="0"/>
              <w:spacing w:before="37" w:line="340" w:lineRule="exact"/>
              <w:ind w:left="273" w:leftChars="130"/>
              <w:jc w:val="left"/>
              <w:rPr>
                <w:rFonts w:hint="eastAsia" w:ascii="宋体" w:hAnsi="宋体" w:cs="宋体"/>
                <w:color w:val="auto"/>
                <w:kern w:val="0"/>
                <w:sz w:val="24"/>
                <w:szCs w:val="24"/>
              </w:rPr>
            </w:pPr>
            <w:r>
              <w:rPr>
                <w:rFonts w:hint="eastAsia" w:ascii="宋体" w:hAnsi="宋体" w:cs="宋体"/>
                <w:color w:val="auto"/>
                <w:kern w:val="0"/>
                <w:sz w:val="24"/>
                <w:szCs w:val="24"/>
              </w:rPr>
              <w:t xml:space="preserve">b.投标函附录的所有数据均符合招标文件规定； </w:t>
            </w:r>
          </w:p>
          <w:p>
            <w:pPr>
              <w:autoSpaceDE w:val="0"/>
              <w:autoSpaceDN w:val="0"/>
              <w:adjustRightInd w:val="0"/>
              <w:spacing w:before="37" w:line="340" w:lineRule="exact"/>
              <w:ind w:left="273" w:leftChars="130"/>
              <w:jc w:val="left"/>
              <w:rPr>
                <w:rFonts w:hint="eastAsia" w:ascii="宋体" w:hAnsi="宋体" w:cs="宋体"/>
                <w:color w:val="auto"/>
                <w:kern w:val="0"/>
                <w:sz w:val="24"/>
                <w:szCs w:val="24"/>
              </w:rPr>
            </w:pPr>
            <w:r>
              <w:rPr>
                <w:rFonts w:hint="eastAsia" w:ascii="宋体" w:hAnsi="宋体" w:cs="宋体"/>
                <w:color w:val="auto"/>
                <w:kern w:val="0"/>
                <w:sz w:val="24"/>
                <w:szCs w:val="24"/>
              </w:rPr>
              <w:t xml:space="preserve">c.承诺函文字与招标文件规定一致，未进行修改和删减；  </w:t>
            </w:r>
          </w:p>
          <w:p>
            <w:pPr>
              <w:autoSpaceDE w:val="0"/>
              <w:autoSpaceDN w:val="0"/>
              <w:adjustRightInd w:val="0"/>
              <w:spacing w:before="37" w:line="340" w:lineRule="exact"/>
              <w:ind w:left="273" w:leftChars="130"/>
              <w:jc w:val="left"/>
              <w:rPr>
                <w:rFonts w:hint="eastAsia" w:ascii="宋体" w:hAnsi="宋体" w:cs="宋体"/>
                <w:color w:val="auto"/>
                <w:kern w:val="0"/>
                <w:sz w:val="24"/>
                <w:szCs w:val="24"/>
              </w:rPr>
            </w:pPr>
            <w:r>
              <w:rPr>
                <w:rFonts w:hint="eastAsia" w:ascii="宋体" w:hAnsi="宋体" w:cs="宋体"/>
                <w:color w:val="auto"/>
                <w:kern w:val="0"/>
                <w:sz w:val="24"/>
                <w:szCs w:val="24"/>
              </w:rPr>
              <w:t>d.按照招标文件规定的格式、内容编制了项目管理机构相关图表；</w:t>
            </w:r>
          </w:p>
          <w:p>
            <w:pPr>
              <w:autoSpaceDE w:val="0"/>
              <w:autoSpaceDN w:val="0"/>
              <w:adjustRightInd w:val="0"/>
              <w:spacing w:before="37" w:line="340" w:lineRule="exact"/>
              <w:ind w:left="273" w:leftChars="130"/>
              <w:jc w:val="left"/>
              <w:rPr>
                <w:rFonts w:ascii="宋体" w:hAnsi="宋体" w:cs="宋体"/>
                <w:color w:val="auto"/>
                <w:kern w:val="0"/>
                <w:sz w:val="24"/>
                <w:szCs w:val="24"/>
              </w:rPr>
            </w:pPr>
            <w:r>
              <w:rPr>
                <w:rFonts w:hint="eastAsia" w:ascii="宋体" w:hAnsi="宋体" w:cs="宋体"/>
                <w:color w:val="auto"/>
                <w:kern w:val="0"/>
                <w:sz w:val="24"/>
                <w:szCs w:val="24"/>
              </w:rPr>
              <w:t>e.投标文件（第一个信封）组成齐全完整，内容均按规定填写。</w:t>
            </w:r>
          </w:p>
          <w:p>
            <w:pPr>
              <w:autoSpaceDE w:val="0"/>
              <w:autoSpaceDN w:val="0"/>
              <w:adjustRightInd w:val="0"/>
              <w:spacing w:before="54" w:line="340" w:lineRule="exact"/>
              <w:jc w:val="left"/>
              <w:rPr>
                <w:rFonts w:ascii="宋体" w:hAnsi="宋体" w:cs="宋体"/>
                <w:color w:val="auto"/>
                <w:kern w:val="0"/>
                <w:sz w:val="24"/>
                <w:szCs w:val="24"/>
              </w:rPr>
            </w:pPr>
            <w:r>
              <w:rPr>
                <w:rFonts w:ascii="宋体" w:hAnsi="宋体"/>
                <w:color w:val="auto"/>
                <w:kern w:val="0"/>
                <w:sz w:val="24"/>
                <w:szCs w:val="24"/>
              </w:rPr>
              <w:t>(2)</w:t>
            </w:r>
            <w:r>
              <w:rPr>
                <w:rFonts w:hint="eastAsia"/>
                <w:color w:val="auto"/>
                <w:sz w:val="24"/>
                <w:szCs w:val="24"/>
              </w:rPr>
              <w:t xml:space="preserve"> </w:t>
            </w:r>
            <w:r>
              <w:rPr>
                <w:rFonts w:hint="eastAsia" w:ascii="宋体" w:hAnsi="宋体" w:cs="宋体"/>
                <w:color w:val="auto"/>
                <w:kern w:val="0"/>
                <w:sz w:val="24"/>
                <w:szCs w:val="24"/>
              </w:rPr>
              <w:t>投标文件上法定代表人或其授权代理人的签字、投标人的单位章盖章齐全，符合招标文件投标人须知3.7.3的规定：</w:t>
            </w:r>
          </w:p>
          <w:p>
            <w:pPr>
              <w:spacing w:line="340" w:lineRule="exact"/>
              <w:rPr>
                <w:rFonts w:ascii="宋体" w:hAnsi="宋体" w:cs="宋体"/>
                <w:color w:val="auto"/>
                <w:kern w:val="0"/>
                <w:sz w:val="24"/>
                <w:szCs w:val="24"/>
              </w:rPr>
            </w:pPr>
            <w:r>
              <w:rPr>
                <w:rFonts w:ascii="宋体" w:hAnsi="宋体"/>
                <w:color w:val="auto"/>
                <w:kern w:val="0"/>
                <w:sz w:val="24"/>
                <w:szCs w:val="24"/>
              </w:rPr>
              <w:t>(</w:t>
            </w:r>
            <w:r>
              <w:rPr>
                <w:rFonts w:hint="eastAsia" w:ascii="宋体" w:hAnsi="宋体"/>
                <w:color w:val="auto"/>
                <w:kern w:val="0"/>
                <w:sz w:val="24"/>
                <w:szCs w:val="24"/>
              </w:rPr>
              <w:t>3</w:t>
            </w:r>
            <w:r>
              <w:rPr>
                <w:rFonts w:ascii="宋体" w:hAnsi="宋体"/>
                <w:color w:val="auto"/>
                <w:spacing w:val="2"/>
                <w:kern w:val="0"/>
                <w:sz w:val="24"/>
                <w:szCs w:val="24"/>
              </w:rPr>
              <w:t>)</w:t>
            </w:r>
            <w:r>
              <w:rPr>
                <w:rFonts w:hint="eastAsia" w:ascii="宋体" w:hAnsi="宋体" w:cs="宋体"/>
                <w:color w:val="auto"/>
                <w:spacing w:val="2"/>
                <w:kern w:val="0"/>
                <w:sz w:val="24"/>
                <w:szCs w:val="24"/>
              </w:rPr>
              <w:t>投标人</w:t>
            </w:r>
            <w:r>
              <w:rPr>
                <w:rFonts w:hint="eastAsia" w:ascii="宋体" w:hAnsi="宋体" w:cs="宋体"/>
                <w:color w:val="auto"/>
                <w:spacing w:val="1"/>
                <w:kern w:val="0"/>
                <w:sz w:val="24"/>
                <w:szCs w:val="24"/>
              </w:rPr>
              <w:t>按</w:t>
            </w:r>
            <w:r>
              <w:rPr>
                <w:rFonts w:hint="eastAsia" w:ascii="宋体" w:hAnsi="宋体" w:cs="宋体"/>
                <w:color w:val="auto"/>
                <w:spacing w:val="2"/>
                <w:kern w:val="0"/>
                <w:sz w:val="24"/>
                <w:szCs w:val="24"/>
              </w:rPr>
              <w:t>照招标文</w:t>
            </w:r>
            <w:r>
              <w:rPr>
                <w:rFonts w:hint="eastAsia" w:ascii="宋体" w:hAnsi="宋体" w:cs="宋体"/>
                <w:color w:val="auto"/>
                <w:spacing w:val="1"/>
                <w:kern w:val="0"/>
                <w:sz w:val="24"/>
                <w:szCs w:val="24"/>
              </w:rPr>
              <w:t>件</w:t>
            </w:r>
            <w:r>
              <w:rPr>
                <w:rFonts w:hint="eastAsia" w:ascii="宋体" w:hAnsi="宋体" w:cs="宋体"/>
                <w:color w:val="auto"/>
                <w:spacing w:val="2"/>
                <w:kern w:val="0"/>
                <w:sz w:val="24"/>
                <w:szCs w:val="24"/>
              </w:rPr>
              <w:t>规定的金</w:t>
            </w:r>
            <w:r>
              <w:rPr>
                <w:rFonts w:hint="eastAsia" w:ascii="宋体" w:hAnsi="宋体" w:cs="宋体"/>
                <w:color w:val="auto"/>
                <w:spacing w:val="1"/>
                <w:kern w:val="0"/>
                <w:sz w:val="24"/>
                <w:szCs w:val="24"/>
              </w:rPr>
              <w:t>额</w:t>
            </w:r>
            <w:r>
              <w:rPr>
                <w:rFonts w:hint="eastAsia" w:ascii="宋体" w:hAnsi="宋体" w:cs="宋体"/>
                <w:color w:val="auto"/>
                <w:spacing w:val="2"/>
                <w:kern w:val="0"/>
                <w:sz w:val="24"/>
                <w:szCs w:val="24"/>
              </w:rPr>
              <w:t>、形式、</w:t>
            </w:r>
            <w:r>
              <w:rPr>
                <w:rFonts w:hint="eastAsia" w:ascii="宋体" w:hAnsi="宋体" w:cs="宋体"/>
                <w:color w:val="auto"/>
                <w:spacing w:val="1"/>
                <w:kern w:val="0"/>
                <w:sz w:val="24"/>
                <w:szCs w:val="24"/>
              </w:rPr>
              <w:t>时</w:t>
            </w:r>
            <w:r>
              <w:rPr>
                <w:rFonts w:hint="eastAsia" w:ascii="宋体" w:hAnsi="宋体" w:cs="宋体"/>
                <w:color w:val="auto"/>
                <w:spacing w:val="2"/>
                <w:kern w:val="0"/>
                <w:sz w:val="24"/>
                <w:szCs w:val="24"/>
              </w:rPr>
              <w:t>效和内容</w:t>
            </w:r>
            <w:r>
              <w:rPr>
                <w:rFonts w:hint="eastAsia" w:ascii="宋体" w:hAnsi="宋体" w:cs="宋体"/>
                <w:color w:val="auto"/>
                <w:spacing w:val="1"/>
                <w:kern w:val="0"/>
                <w:sz w:val="24"/>
                <w:szCs w:val="24"/>
              </w:rPr>
              <w:t>提</w:t>
            </w:r>
            <w:r>
              <w:rPr>
                <w:rFonts w:hint="eastAsia" w:ascii="宋体" w:hAnsi="宋体" w:cs="宋体"/>
                <w:color w:val="auto"/>
                <w:spacing w:val="2"/>
                <w:kern w:val="0"/>
                <w:sz w:val="24"/>
                <w:szCs w:val="24"/>
              </w:rPr>
              <w:t>供了投</w:t>
            </w:r>
            <w:r>
              <w:rPr>
                <w:rFonts w:hint="eastAsia" w:ascii="宋体" w:hAnsi="宋体" w:cs="宋体"/>
                <w:color w:val="auto"/>
                <w:spacing w:val="4"/>
                <w:kern w:val="0"/>
                <w:sz w:val="24"/>
                <w:szCs w:val="24"/>
              </w:rPr>
              <w:t>标</w:t>
            </w:r>
            <w:r>
              <w:rPr>
                <w:rFonts w:hint="eastAsia" w:ascii="宋体" w:hAnsi="宋体" w:cs="宋体"/>
                <w:color w:val="auto"/>
                <w:kern w:val="0"/>
                <w:sz w:val="24"/>
                <w:szCs w:val="24"/>
              </w:rPr>
              <w:t>担保：</w:t>
            </w:r>
          </w:p>
          <w:p>
            <w:pPr>
              <w:autoSpaceDE w:val="0"/>
              <w:autoSpaceDN w:val="0"/>
              <w:adjustRightInd w:val="0"/>
              <w:spacing w:before="70" w:line="340" w:lineRule="exact"/>
              <w:jc w:val="left"/>
              <w:rPr>
                <w:rFonts w:hint="eastAsia" w:ascii="宋体" w:hAnsi="宋体" w:cs="宋体"/>
                <w:color w:val="auto"/>
                <w:kern w:val="0"/>
                <w:sz w:val="24"/>
                <w:szCs w:val="24"/>
              </w:rPr>
            </w:pPr>
            <w:r>
              <w:rPr>
                <w:rFonts w:ascii="宋体" w:hAnsi="宋体"/>
                <w:color w:val="auto"/>
                <w:kern w:val="0"/>
                <w:sz w:val="24"/>
                <w:szCs w:val="24"/>
              </w:rPr>
              <w:t>a.</w:t>
            </w:r>
            <w:r>
              <w:rPr>
                <w:rFonts w:hint="eastAsia" w:ascii="宋体" w:hAnsi="宋体" w:cs="宋体"/>
                <w:color w:val="auto"/>
                <w:kern w:val="0"/>
                <w:sz w:val="24"/>
                <w:szCs w:val="24"/>
              </w:rPr>
              <w:t>投标担保</w:t>
            </w:r>
            <w:r>
              <w:rPr>
                <w:rFonts w:hint="eastAsia" w:ascii="宋体" w:hAnsi="宋体" w:cs="宋体"/>
                <w:color w:val="auto"/>
                <w:spacing w:val="-1"/>
                <w:kern w:val="0"/>
                <w:sz w:val="24"/>
                <w:szCs w:val="24"/>
              </w:rPr>
              <w:t>金</w:t>
            </w:r>
            <w:r>
              <w:rPr>
                <w:rFonts w:hint="eastAsia" w:ascii="宋体" w:hAnsi="宋体" w:cs="宋体"/>
                <w:color w:val="auto"/>
                <w:kern w:val="0"/>
                <w:sz w:val="24"/>
                <w:szCs w:val="24"/>
              </w:rPr>
              <w:t>额符合招标文件规定的金额；</w:t>
            </w:r>
          </w:p>
          <w:p>
            <w:pPr>
              <w:autoSpaceDE w:val="0"/>
              <w:autoSpaceDN w:val="0"/>
              <w:adjustRightInd w:val="0"/>
              <w:spacing w:before="70" w:line="340" w:lineRule="exact"/>
              <w:jc w:val="left"/>
              <w:rPr>
                <w:rFonts w:hint="eastAsia" w:ascii="宋体" w:hAnsi="宋体" w:cs="宋体"/>
                <w:color w:val="auto"/>
                <w:kern w:val="0"/>
                <w:sz w:val="24"/>
                <w:szCs w:val="24"/>
              </w:rPr>
            </w:pPr>
            <w:r>
              <w:rPr>
                <w:rFonts w:ascii="宋体" w:hAnsi="宋体"/>
                <w:color w:val="auto"/>
                <w:spacing w:val="1"/>
                <w:kern w:val="0"/>
                <w:sz w:val="24"/>
                <w:szCs w:val="24"/>
              </w:rPr>
              <w:t>b</w:t>
            </w:r>
            <w:r>
              <w:rPr>
                <w:rFonts w:ascii="宋体" w:hAnsi="宋体"/>
                <w:color w:val="auto"/>
                <w:kern w:val="0"/>
                <w:sz w:val="24"/>
                <w:szCs w:val="24"/>
              </w:rPr>
              <w:t>.</w:t>
            </w:r>
            <w:r>
              <w:rPr>
                <w:rFonts w:hint="eastAsia"/>
                <w:color w:val="auto"/>
                <w:sz w:val="24"/>
                <w:szCs w:val="24"/>
              </w:rPr>
              <w:t xml:space="preserve"> </w:t>
            </w:r>
            <w:r>
              <w:rPr>
                <w:rFonts w:hint="eastAsia" w:ascii="宋体" w:hAnsi="宋体" w:cs="宋体"/>
                <w:color w:val="auto"/>
                <w:kern w:val="0"/>
                <w:sz w:val="24"/>
                <w:szCs w:val="24"/>
              </w:rPr>
              <w:t>若采用现金、支票</w:t>
            </w:r>
            <w:r>
              <w:rPr>
                <w:rFonts w:hint="eastAsia" w:ascii="宋体" w:hAnsi="宋体" w:cs="宋体"/>
                <w:color w:val="auto"/>
                <w:spacing w:val="-41"/>
                <w:kern w:val="0"/>
                <w:sz w:val="24"/>
                <w:szCs w:val="24"/>
              </w:rPr>
              <w:t>，</w:t>
            </w:r>
            <w:r>
              <w:rPr>
                <w:rFonts w:hint="eastAsia" w:ascii="宋体" w:hAnsi="宋体" w:cs="宋体"/>
                <w:color w:val="auto"/>
                <w:kern w:val="0"/>
                <w:sz w:val="24"/>
                <w:szCs w:val="24"/>
              </w:rPr>
              <w:t>投标人在投标人须知前附表规定的时间之前</w:t>
            </w:r>
            <w:r>
              <w:rPr>
                <w:rFonts w:hint="eastAsia" w:ascii="宋体" w:hAnsi="宋体" w:cs="宋体"/>
                <w:color w:val="auto"/>
                <w:spacing w:val="-41"/>
                <w:kern w:val="0"/>
                <w:sz w:val="24"/>
                <w:szCs w:val="24"/>
              </w:rPr>
              <w:t>，</w:t>
            </w:r>
            <w:r>
              <w:rPr>
                <w:rFonts w:hint="eastAsia" w:ascii="宋体" w:hAnsi="宋体" w:cs="宋体"/>
                <w:color w:val="auto"/>
                <w:kern w:val="0"/>
                <w:sz w:val="24"/>
                <w:szCs w:val="24"/>
              </w:rPr>
              <w:t>将投标保证金由投标人的基本账户一次性汇入（或开给）招标人指定账户；</w:t>
            </w:r>
          </w:p>
          <w:p>
            <w:pPr>
              <w:autoSpaceDE w:val="0"/>
              <w:autoSpaceDN w:val="0"/>
              <w:adjustRightInd w:val="0"/>
              <w:spacing w:before="70" w:line="340" w:lineRule="exact"/>
              <w:jc w:val="left"/>
              <w:rPr>
                <w:rFonts w:ascii="宋体" w:hAnsi="宋体" w:cs="宋体"/>
                <w:color w:val="auto"/>
                <w:kern w:val="0"/>
                <w:sz w:val="24"/>
                <w:szCs w:val="24"/>
              </w:rPr>
            </w:pPr>
            <w:r>
              <w:rPr>
                <w:rFonts w:ascii="宋体" w:hAnsi="宋体"/>
                <w:color w:val="auto"/>
                <w:kern w:val="0"/>
                <w:sz w:val="24"/>
                <w:szCs w:val="24"/>
              </w:rPr>
              <w:t>c.</w:t>
            </w:r>
            <w:r>
              <w:rPr>
                <w:rFonts w:hint="eastAsia"/>
                <w:color w:val="auto"/>
                <w:sz w:val="24"/>
                <w:szCs w:val="24"/>
              </w:rPr>
              <w:t xml:space="preserve"> </w:t>
            </w:r>
            <w:r>
              <w:rPr>
                <w:rFonts w:hint="eastAsia" w:ascii="宋体" w:hAnsi="宋体" w:cs="宋体"/>
                <w:color w:val="auto"/>
                <w:kern w:val="0"/>
                <w:sz w:val="24"/>
                <w:szCs w:val="24"/>
              </w:rPr>
              <w:t>若采用银行保函，银行保函的格式、开具保函的银行、银行保函的有效期均满足招标文件要求，且银行保函原件在递交投标文件时单独递交。</w:t>
            </w:r>
            <w:r>
              <w:rPr>
                <w:rFonts w:ascii="宋体" w:hAnsi="宋体" w:cs="宋体"/>
                <w:color w:val="auto"/>
                <w:kern w:val="0"/>
                <w:sz w:val="24"/>
                <w:szCs w:val="24"/>
              </w:rPr>
              <w:t xml:space="preserve"> </w:t>
            </w:r>
          </w:p>
          <w:p>
            <w:pPr>
              <w:autoSpaceDE w:val="0"/>
              <w:autoSpaceDN w:val="0"/>
              <w:adjustRightInd w:val="0"/>
              <w:spacing w:before="35" w:line="340" w:lineRule="exact"/>
              <w:jc w:val="left"/>
              <w:rPr>
                <w:rFonts w:ascii="宋体" w:hAnsi="宋体" w:cs="宋体"/>
                <w:color w:val="auto"/>
                <w:kern w:val="0"/>
                <w:sz w:val="24"/>
                <w:szCs w:val="24"/>
              </w:rPr>
            </w:pPr>
            <w:r>
              <w:rPr>
                <w:rFonts w:ascii="宋体" w:hAnsi="宋体"/>
                <w:color w:val="auto"/>
                <w:kern w:val="0"/>
                <w:sz w:val="24"/>
                <w:szCs w:val="24"/>
              </w:rPr>
              <w:t>(</w:t>
            </w:r>
            <w:r>
              <w:rPr>
                <w:rFonts w:hint="eastAsia" w:ascii="宋体" w:hAnsi="宋体"/>
                <w:color w:val="auto"/>
                <w:kern w:val="0"/>
                <w:sz w:val="24"/>
                <w:szCs w:val="24"/>
              </w:rPr>
              <w:t>4</w:t>
            </w:r>
            <w:r>
              <w:rPr>
                <w:rFonts w:ascii="宋体" w:hAnsi="宋体"/>
                <w:color w:val="auto"/>
                <w:spacing w:val="2"/>
                <w:kern w:val="0"/>
                <w:sz w:val="24"/>
                <w:szCs w:val="24"/>
              </w:rPr>
              <w:t>)</w:t>
            </w:r>
            <w:r>
              <w:rPr>
                <w:rFonts w:hint="eastAsia" w:ascii="宋体" w:hAnsi="宋体" w:cs="宋体"/>
                <w:color w:val="auto"/>
                <w:spacing w:val="2"/>
                <w:kern w:val="0"/>
                <w:sz w:val="24"/>
                <w:szCs w:val="24"/>
              </w:rPr>
              <w:t>投标人</w:t>
            </w:r>
            <w:r>
              <w:rPr>
                <w:rFonts w:hint="eastAsia" w:ascii="宋体" w:hAnsi="宋体" w:cs="宋体"/>
                <w:color w:val="auto"/>
                <w:spacing w:val="1"/>
                <w:kern w:val="0"/>
                <w:sz w:val="24"/>
                <w:szCs w:val="24"/>
              </w:rPr>
              <w:t>法</w:t>
            </w:r>
            <w:r>
              <w:rPr>
                <w:rFonts w:hint="eastAsia" w:ascii="宋体" w:hAnsi="宋体" w:cs="宋体"/>
                <w:color w:val="auto"/>
                <w:spacing w:val="2"/>
                <w:kern w:val="0"/>
                <w:sz w:val="24"/>
                <w:szCs w:val="24"/>
              </w:rPr>
              <w:t>定代表人</w:t>
            </w:r>
            <w:r>
              <w:rPr>
                <w:rFonts w:hint="eastAsia" w:ascii="宋体" w:hAnsi="宋体" w:cs="宋体"/>
                <w:color w:val="auto"/>
                <w:spacing w:val="1"/>
                <w:kern w:val="0"/>
                <w:sz w:val="24"/>
                <w:szCs w:val="24"/>
              </w:rPr>
              <w:t>的</w:t>
            </w:r>
            <w:r>
              <w:rPr>
                <w:rFonts w:hint="eastAsia" w:ascii="宋体" w:hAnsi="宋体" w:cs="宋体"/>
                <w:color w:val="auto"/>
                <w:spacing w:val="2"/>
                <w:kern w:val="0"/>
                <w:sz w:val="24"/>
                <w:szCs w:val="24"/>
              </w:rPr>
              <w:t>授权代理</w:t>
            </w:r>
            <w:r>
              <w:rPr>
                <w:rFonts w:hint="eastAsia" w:ascii="宋体" w:hAnsi="宋体" w:cs="宋体"/>
                <w:color w:val="auto"/>
                <w:spacing w:val="1"/>
                <w:kern w:val="0"/>
                <w:sz w:val="24"/>
                <w:szCs w:val="24"/>
              </w:rPr>
              <w:t>人</w:t>
            </w:r>
            <w:r>
              <w:rPr>
                <w:rFonts w:hint="eastAsia" w:ascii="宋体" w:hAnsi="宋体" w:cs="宋体"/>
                <w:color w:val="auto"/>
                <w:spacing w:val="2"/>
                <w:kern w:val="0"/>
                <w:sz w:val="24"/>
                <w:szCs w:val="24"/>
              </w:rPr>
              <w:t>，需提交</w:t>
            </w:r>
            <w:r>
              <w:rPr>
                <w:rFonts w:hint="eastAsia" w:ascii="宋体" w:hAnsi="宋体" w:cs="宋体"/>
                <w:color w:val="auto"/>
                <w:spacing w:val="1"/>
                <w:kern w:val="0"/>
                <w:sz w:val="24"/>
                <w:szCs w:val="24"/>
              </w:rPr>
              <w:t>附</w:t>
            </w:r>
            <w:r>
              <w:rPr>
                <w:rFonts w:hint="eastAsia" w:ascii="宋体" w:hAnsi="宋体" w:cs="宋体"/>
                <w:color w:val="auto"/>
                <w:spacing w:val="2"/>
                <w:kern w:val="0"/>
                <w:sz w:val="24"/>
                <w:szCs w:val="24"/>
              </w:rPr>
              <w:t>有法定代</w:t>
            </w:r>
            <w:r>
              <w:rPr>
                <w:rFonts w:hint="eastAsia" w:ascii="宋体" w:hAnsi="宋体" w:cs="宋体"/>
                <w:color w:val="auto"/>
                <w:spacing w:val="1"/>
                <w:kern w:val="0"/>
                <w:sz w:val="24"/>
                <w:szCs w:val="24"/>
              </w:rPr>
              <w:t>表</w:t>
            </w:r>
            <w:r>
              <w:rPr>
                <w:rFonts w:hint="eastAsia" w:ascii="宋体" w:hAnsi="宋体" w:cs="宋体"/>
                <w:color w:val="auto"/>
                <w:spacing w:val="2"/>
                <w:kern w:val="0"/>
                <w:sz w:val="24"/>
                <w:szCs w:val="24"/>
              </w:rPr>
              <w:t>人身份</w:t>
            </w:r>
            <w:r>
              <w:rPr>
                <w:rFonts w:hint="eastAsia" w:ascii="宋体" w:hAnsi="宋体" w:cs="宋体"/>
                <w:color w:val="auto"/>
                <w:spacing w:val="4"/>
                <w:kern w:val="0"/>
                <w:sz w:val="24"/>
                <w:szCs w:val="24"/>
              </w:rPr>
              <w:t>证</w:t>
            </w:r>
            <w:r>
              <w:rPr>
                <w:rFonts w:hint="eastAsia" w:ascii="宋体" w:hAnsi="宋体" w:cs="宋体"/>
                <w:color w:val="auto"/>
                <w:kern w:val="0"/>
                <w:sz w:val="24"/>
                <w:szCs w:val="24"/>
              </w:rPr>
              <w:t>明的授权委托书，并符合下列要求：</w:t>
            </w:r>
          </w:p>
          <w:p>
            <w:pPr>
              <w:autoSpaceDE w:val="0"/>
              <w:autoSpaceDN w:val="0"/>
              <w:adjustRightInd w:val="0"/>
              <w:spacing w:before="29" w:line="340" w:lineRule="exact"/>
              <w:jc w:val="left"/>
              <w:rPr>
                <w:rFonts w:ascii="宋体" w:hAnsi="宋体" w:cs="宋体"/>
                <w:color w:val="auto"/>
                <w:kern w:val="0"/>
                <w:sz w:val="24"/>
                <w:szCs w:val="24"/>
              </w:rPr>
            </w:pPr>
            <w:r>
              <w:rPr>
                <w:rFonts w:ascii="宋体" w:hAnsi="宋体"/>
                <w:color w:val="auto"/>
                <w:kern w:val="0"/>
                <w:sz w:val="24"/>
                <w:szCs w:val="24"/>
              </w:rPr>
              <w:t>a.</w:t>
            </w:r>
            <w:r>
              <w:rPr>
                <w:rFonts w:hint="eastAsia" w:ascii="宋体" w:hAnsi="宋体" w:cs="宋体"/>
                <w:color w:val="auto"/>
                <w:kern w:val="0"/>
                <w:sz w:val="24"/>
                <w:szCs w:val="24"/>
              </w:rPr>
              <w:t>授权人和</w:t>
            </w:r>
            <w:r>
              <w:rPr>
                <w:rFonts w:hint="eastAsia" w:ascii="宋体" w:hAnsi="宋体" w:cs="宋体"/>
                <w:color w:val="auto"/>
                <w:spacing w:val="-1"/>
                <w:kern w:val="0"/>
                <w:sz w:val="24"/>
                <w:szCs w:val="24"/>
              </w:rPr>
              <w:t>被</w:t>
            </w:r>
            <w:r>
              <w:rPr>
                <w:rFonts w:hint="eastAsia" w:ascii="宋体" w:hAnsi="宋体" w:cs="宋体"/>
                <w:color w:val="auto"/>
                <w:kern w:val="0"/>
                <w:sz w:val="24"/>
                <w:szCs w:val="24"/>
              </w:rPr>
              <w:t>授权人均在授权书上签名</w:t>
            </w:r>
            <w:r>
              <w:rPr>
                <w:rFonts w:hint="eastAsia" w:ascii="宋体" w:hAnsi="宋体" w:cs="宋体"/>
                <w:color w:val="auto"/>
                <w:spacing w:val="-8"/>
                <w:kern w:val="0"/>
                <w:sz w:val="24"/>
                <w:szCs w:val="24"/>
              </w:rPr>
              <w:t>，</w:t>
            </w:r>
            <w:r>
              <w:rPr>
                <w:rFonts w:hint="eastAsia" w:ascii="宋体" w:hAnsi="宋体" w:cs="宋体"/>
                <w:color w:val="auto"/>
                <w:kern w:val="0"/>
                <w:sz w:val="24"/>
                <w:szCs w:val="24"/>
              </w:rPr>
              <w:t>未使用印章</w:t>
            </w:r>
            <w:r>
              <w:rPr>
                <w:rFonts w:hint="eastAsia" w:ascii="宋体" w:hAnsi="宋体" w:cs="宋体"/>
                <w:color w:val="auto"/>
                <w:spacing w:val="-8"/>
                <w:kern w:val="0"/>
                <w:sz w:val="24"/>
                <w:szCs w:val="24"/>
              </w:rPr>
              <w:t>、</w:t>
            </w:r>
            <w:r>
              <w:rPr>
                <w:rFonts w:hint="eastAsia" w:ascii="宋体" w:hAnsi="宋体" w:cs="宋体"/>
                <w:color w:val="auto"/>
                <w:kern w:val="0"/>
                <w:sz w:val="24"/>
                <w:szCs w:val="24"/>
              </w:rPr>
              <w:t>签名章或其他电子制版签名；</w:t>
            </w:r>
          </w:p>
          <w:p>
            <w:pPr>
              <w:spacing w:line="340" w:lineRule="exact"/>
              <w:rPr>
                <w:rFonts w:hint="eastAsia" w:ascii="宋体" w:hAnsi="宋体"/>
                <w:color w:val="auto"/>
                <w:kern w:val="0"/>
                <w:sz w:val="24"/>
                <w:szCs w:val="24"/>
              </w:rPr>
            </w:pPr>
            <w:r>
              <w:rPr>
                <w:rFonts w:hint="eastAsia" w:ascii="宋体" w:hAnsi="宋体"/>
                <w:color w:val="auto"/>
                <w:kern w:val="0"/>
                <w:sz w:val="24"/>
                <w:szCs w:val="24"/>
              </w:rPr>
              <w:t>(5)投标人法定代表人若亲自签署投标文件的，提供了法定代表人身份证明，并符合下列要求：</w:t>
            </w:r>
          </w:p>
          <w:p>
            <w:pPr>
              <w:spacing w:line="340" w:lineRule="exact"/>
              <w:rPr>
                <w:rFonts w:hint="eastAsia" w:ascii="宋体" w:hAnsi="宋体"/>
                <w:color w:val="auto"/>
                <w:kern w:val="0"/>
                <w:sz w:val="24"/>
                <w:szCs w:val="24"/>
              </w:rPr>
            </w:pPr>
            <w:r>
              <w:rPr>
                <w:rFonts w:hint="eastAsia" w:ascii="宋体" w:hAnsi="宋体"/>
                <w:color w:val="auto"/>
                <w:kern w:val="0"/>
                <w:sz w:val="24"/>
                <w:szCs w:val="24"/>
              </w:rPr>
              <w:t>a.法定代表人在法定代表人身份证明上签名，未使用印章、签名章或其他电子制版签名；</w:t>
            </w:r>
          </w:p>
          <w:p>
            <w:pPr>
              <w:spacing w:line="340" w:lineRule="exact"/>
              <w:rPr>
                <w:rFonts w:hint="eastAsia" w:ascii="宋体" w:hAnsi="宋体"/>
                <w:color w:val="auto"/>
                <w:kern w:val="0"/>
                <w:sz w:val="24"/>
                <w:szCs w:val="24"/>
              </w:rPr>
            </w:pPr>
            <w:r>
              <w:rPr>
                <w:rFonts w:hint="eastAsia" w:ascii="宋体" w:hAnsi="宋体"/>
                <w:color w:val="auto"/>
                <w:kern w:val="0"/>
                <w:sz w:val="24"/>
                <w:szCs w:val="24"/>
              </w:rPr>
              <w:t>(6)</w:t>
            </w:r>
            <w:r>
              <w:rPr>
                <w:rFonts w:hint="eastAsia"/>
                <w:color w:val="auto"/>
                <w:sz w:val="24"/>
                <w:szCs w:val="24"/>
              </w:rPr>
              <w:t xml:space="preserve"> 本项目不接受联合体投标。</w:t>
            </w:r>
          </w:p>
          <w:p>
            <w:pPr>
              <w:spacing w:line="340" w:lineRule="exact"/>
              <w:rPr>
                <w:rFonts w:hint="eastAsia" w:ascii="宋体" w:hAnsi="宋体"/>
                <w:color w:val="auto"/>
                <w:kern w:val="0"/>
                <w:sz w:val="24"/>
                <w:szCs w:val="24"/>
              </w:rPr>
            </w:pPr>
            <w:r>
              <w:rPr>
                <w:rFonts w:hint="eastAsia" w:ascii="宋体" w:hAnsi="宋体"/>
                <w:color w:val="auto"/>
                <w:kern w:val="0"/>
                <w:sz w:val="24"/>
                <w:szCs w:val="24"/>
              </w:rPr>
              <w:t>(7) 本项目</w:t>
            </w:r>
            <w:r>
              <w:rPr>
                <w:rFonts w:hint="eastAsia"/>
                <w:color w:val="auto"/>
                <w:sz w:val="24"/>
                <w:szCs w:val="24"/>
              </w:rPr>
              <w:t>不允许分包</w:t>
            </w:r>
            <w:r>
              <w:rPr>
                <w:rFonts w:hint="eastAsia" w:ascii="宋体" w:hAnsi="宋体"/>
                <w:color w:val="auto"/>
                <w:kern w:val="0"/>
                <w:sz w:val="24"/>
                <w:szCs w:val="24"/>
              </w:rPr>
              <w:t>。</w:t>
            </w:r>
          </w:p>
          <w:p>
            <w:pPr>
              <w:spacing w:line="340" w:lineRule="exact"/>
              <w:rPr>
                <w:rFonts w:hint="eastAsia" w:ascii="宋体" w:hAnsi="宋体"/>
                <w:color w:val="auto"/>
                <w:kern w:val="0"/>
                <w:sz w:val="24"/>
                <w:szCs w:val="24"/>
              </w:rPr>
            </w:pPr>
            <w:r>
              <w:rPr>
                <w:rFonts w:hint="eastAsia" w:ascii="宋体" w:hAnsi="宋体"/>
                <w:color w:val="auto"/>
                <w:kern w:val="0"/>
                <w:sz w:val="24"/>
                <w:szCs w:val="24"/>
              </w:rPr>
              <w:t>(8)</w:t>
            </w:r>
            <w:r>
              <w:rPr>
                <w:rFonts w:hint="eastAsia"/>
                <w:color w:val="auto"/>
                <w:sz w:val="24"/>
                <w:szCs w:val="24"/>
              </w:rPr>
              <w:t xml:space="preserve"> </w:t>
            </w:r>
            <w:r>
              <w:rPr>
                <w:rFonts w:hint="eastAsia" w:ascii="宋体" w:hAnsi="宋体"/>
                <w:color w:val="auto"/>
                <w:kern w:val="0"/>
                <w:sz w:val="24"/>
                <w:szCs w:val="24"/>
              </w:rPr>
              <w:t>同一标段的同一投标人没有提交两个以上不同的投标文件。</w:t>
            </w:r>
          </w:p>
          <w:p>
            <w:pPr>
              <w:spacing w:line="340" w:lineRule="exact"/>
              <w:rPr>
                <w:rFonts w:hint="eastAsia" w:ascii="宋体" w:hAnsi="宋体"/>
                <w:color w:val="auto"/>
                <w:kern w:val="0"/>
                <w:sz w:val="24"/>
                <w:szCs w:val="24"/>
              </w:rPr>
            </w:pPr>
            <w:r>
              <w:rPr>
                <w:rFonts w:hint="eastAsia" w:ascii="宋体" w:hAnsi="宋体"/>
                <w:color w:val="auto"/>
                <w:kern w:val="0"/>
                <w:sz w:val="24"/>
                <w:szCs w:val="24"/>
              </w:rPr>
              <w:t>(9)</w:t>
            </w:r>
            <w:r>
              <w:rPr>
                <w:rFonts w:hint="eastAsia"/>
                <w:color w:val="auto"/>
                <w:sz w:val="24"/>
                <w:szCs w:val="24"/>
              </w:rPr>
              <w:t xml:space="preserve"> </w:t>
            </w:r>
            <w:r>
              <w:rPr>
                <w:rFonts w:hint="eastAsia" w:ascii="宋体" w:hAnsi="宋体"/>
                <w:color w:val="auto"/>
                <w:kern w:val="0"/>
                <w:sz w:val="24"/>
                <w:szCs w:val="24"/>
              </w:rPr>
              <w:t>投标文件载明的招标项目完成期限未超过招标文件规定的时限。</w:t>
            </w:r>
          </w:p>
          <w:p>
            <w:pPr>
              <w:spacing w:line="340" w:lineRule="exact"/>
              <w:rPr>
                <w:rFonts w:hint="eastAsia" w:ascii="宋体" w:hAnsi="宋体"/>
                <w:color w:val="auto"/>
                <w:kern w:val="0"/>
                <w:sz w:val="24"/>
                <w:szCs w:val="24"/>
              </w:rPr>
            </w:pPr>
            <w:r>
              <w:rPr>
                <w:rFonts w:hint="eastAsia" w:ascii="宋体" w:hAnsi="宋体"/>
                <w:color w:val="auto"/>
                <w:kern w:val="0"/>
                <w:sz w:val="24"/>
                <w:szCs w:val="24"/>
              </w:rPr>
              <w:t>(10)</w:t>
            </w:r>
            <w:r>
              <w:rPr>
                <w:rFonts w:hint="eastAsia"/>
                <w:color w:val="auto"/>
                <w:sz w:val="24"/>
                <w:szCs w:val="24"/>
              </w:rPr>
              <w:t xml:space="preserve"> </w:t>
            </w:r>
            <w:r>
              <w:rPr>
                <w:rFonts w:hint="eastAsia" w:ascii="宋体" w:hAnsi="宋体"/>
                <w:color w:val="auto"/>
                <w:kern w:val="0"/>
                <w:sz w:val="24"/>
                <w:szCs w:val="24"/>
              </w:rPr>
              <w:t>投标文件正、副本份数符合第二章“投标人须知”第 3.7.4 项规定</w:t>
            </w:r>
          </w:p>
          <w:p>
            <w:pPr>
              <w:autoSpaceDE w:val="0"/>
              <w:autoSpaceDN w:val="0"/>
              <w:adjustRightInd w:val="0"/>
              <w:spacing w:before="54" w:line="340" w:lineRule="exact"/>
              <w:jc w:val="left"/>
              <w:rPr>
                <w:rFonts w:ascii="宋体" w:hAnsi="宋体"/>
                <w:color w:val="auto"/>
                <w:kern w:val="0"/>
                <w:sz w:val="24"/>
                <w:szCs w:val="24"/>
              </w:rPr>
            </w:pPr>
            <w:r>
              <w:rPr>
                <w:rFonts w:hint="eastAsia" w:ascii="宋体" w:hAnsi="宋体"/>
                <w:color w:val="auto"/>
                <w:kern w:val="0"/>
                <w:sz w:val="24"/>
                <w:szCs w:val="24"/>
              </w:rPr>
              <w:t>(11)权利义务符合招标文件规定：</w:t>
            </w:r>
          </w:p>
          <w:p>
            <w:pPr>
              <w:autoSpaceDE w:val="0"/>
              <w:autoSpaceDN w:val="0"/>
              <w:adjustRightInd w:val="0"/>
              <w:spacing w:before="53" w:line="340" w:lineRule="exact"/>
              <w:ind w:left="414" w:leftChars="197"/>
              <w:jc w:val="left"/>
              <w:rPr>
                <w:rFonts w:hint="eastAsia" w:ascii="宋体" w:hAnsi="宋体" w:cs="宋体"/>
                <w:color w:val="auto"/>
                <w:kern w:val="0"/>
                <w:sz w:val="24"/>
                <w:szCs w:val="24"/>
              </w:rPr>
            </w:pPr>
            <w:r>
              <w:rPr>
                <w:rFonts w:ascii="宋体" w:hAnsi="宋体"/>
                <w:color w:val="auto"/>
                <w:kern w:val="0"/>
                <w:sz w:val="24"/>
                <w:szCs w:val="24"/>
              </w:rPr>
              <w:t>a.</w:t>
            </w:r>
            <w:r>
              <w:rPr>
                <w:rFonts w:hint="eastAsia" w:ascii="宋体" w:hAnsi="宋体"/>
                <w:color w:val="auto"/>
                <w:kern w:val="0"/>
                <w:sz w:val="24"/>
                <w:szCs w:val="24"/>
              </w:rPr>
              <w:t>投标人应接受招标文件规定的风险</w:t>
            </w:r>
            <w:r>
              <w:rPr>
                <w:rFonts w:hint="eastAsia" w:ascii="宋体" w:hAnsi="宋体" w:cs="宋体"/>
                <w:color w:val="auto"/>
                <w:spacing w:val="2"/>
                <w:kern w:val="0"/>
                <w:sz w:val="24"/>
                <w:szCs w:val="24"/>
              </w:rPr>
              <w:t>划分原则</w:t>
            </w:r>
            <w:r>
              <w:rPr>
                <w:rFonts w:hint="eastAsia" w:ascii="宋体" w:hAnsi="宋体" w:cs="宋体"/>
                <w:color w:val="auto"/>
                <w:spacing w:val="1"/>
                <w:kern w:val="0"/>
                <w:sz w:val="24"/>
                <w:szCs w:val="24"/>
              </w:rPr>
              <w:t>，</w:t>
            </w:r>
            <w:r>
              <w:rPr>
                <w:rFonts w:hint="eastAsia" w:ascii="宋体" w:hAnsi="宋体" w:cs="宋体"/>
                <w:color w:val="auto"/>
                <w:spacing w:val="2"/>
                <w:kern w:val="0"/>
                <w:sz w:val="24"/>
                <w:szCs w:val="24"/>
              </w:rPr>
              <w:t>未提出新</w:t>
            </w:r>
            <w:r>
              <w:rPr>
                <w:rFonts w:hint="eastAsia" w:ascii="宋体" w:hAnsi="宋体" w:cs="宋体"/>
                <w:color w:val="auto"/>
                <w:spacing w:val="1"/>
                <w:kern w:val="0"/>
                <w:sz w:val="24"/>
                <w:szCs w:val="24"/>
              </w:rPr>
              <w:t>的</w:t>
            </w:r>
            <w:r>
              <w:rPr>
                <w:rFonts w:hint="eastAsia" w:ascii="宋体" w:hAnsi="宋体" w:cs="宋体"/>
                <w:color w:val="auto"/>
                <w:spacing w:val="2"/>
                <w:kern w:val="0"/>
                <w:sz w:val="24"/>
                <w:szCs w:val="24"/>
              </w:rPr>
              <w:t>风险</w:t>
            </w:r>
            <w:r>
              <w:rPr>
                <w:rFonts w:hint="eastAsia" w:ascii="宋体" w:hAnsi="宋体" w:cs="宋体"/>
                <w:color w:val="auto"/>
                <w:kern w:val="0"/>
                <w:sz w:val="24"/>
                <w:szCs w:val="24"/>
              </w:rPr>
              <w:t>划分办法；</w:t>
            </w:r>
          </w:p>
          <w:p>
            <w:pPr>
              <w:autoSpaceDE w:val="0"/>
              <w:autoSpaceDN w:val="0"/>
              <w:adjustRightInd w:val="0"/>
              <w:spacing w:before="53" w:line="340" w:lineRule="exact"/>
              <w:ind w:left="414" w:leftChars="197"/>
              <w:jc w:val="left"/>
              <w:rPr>
                <w:rFonts w:hint="eastAsia" w:ascii="宋体" w:hAnsi="宋体" w:cs="宋体"/>
                <w:color w:val="auto"/>
                <w:kern w:val="0"/>
                <w:sz w:val="24"/>
                <w:szCs w:val="24"/>
              </w:rPr>
            </w:pPr>
            <w:r>
              <w:rPr>
                <w:rFonts w:ascii="宋体" w:hAnsi="宋体"/>
                <w:color w:val="auto"/>
                <w:spacing w:val="1"/>
                <w:kern w:val="0"/>
                <w:sz w:val="24"/>
                <w:szCs w:val="24"/>
              </w:rPr>
              <w:t>b</w:t>
            </w:r>
            <w:r>
              <w:rPr>
                <w:rFonts w:ascii="宋体" w:hAnsi="宋体"/>
                <w:color w:val="auto"/>
                <w:kern w:val="0"/>
                <w:sz w:val="24"/>
                <w:szCs w:val="24"/>
              </w:rPr>
              <w:t>.</w:t>
            </w:r>
            <w:r>
              <w:rPr>
                <w:rFonts w:hint="eastAsia" w:ascii="宋体" w:hAnsi="宋体" w:cs="宋体"/>
                <w:color w:val="auto"/>
                <w:kern w:val="0"/>
                <w:sz w:val="24"/>
                <w:szCs w:val="24"/>
              </w:rPr>
              <w:t>投标人未</w:t>
            </w:r>
            <w:r>
              <w:rPr>
                <w:rFonts w:hint="eastAsia" w:ascii="宋体" w:hAnsi="宋体" w:cs="宋体"/>
                <w:color w:val="auto"/>
                <w:spacing w:val="-1"/>
                <w:kern w:val="0"/>
                <w:sz w:val="24"/>
                <w:szCs w:val="24"/>
              </w:rPr>
              <w:t>增</w:t>
            </w:r>
            <w:r>
              <w:rPr>
                <w:rFonts w:hint="eastAsia" w:ascii="宋体" w:hAnsi="宋体" w:cs="宋体"/>
                <w:color w:val="auto"/>
                <w:kern w:val="0"/>
                <w:sz w:val="24"/>
                <w:szCs w:val="24"/>
              </w:rPr>
              <w:t>加发包人的责任范围，或减少投标人义务；</w:t>
            </w:r>
            <w:r>
              <w:rPr>
                <w:rFonts w:ascii="宋体" w:hAnsi="宋体" w:cs="宋体"/>
                <w:color w:val="auto"/>
                <w:kern w:val="0"/>
                <w:sz w:val="24"/>
                <w:szCs w:val="24"/>
              </w:rPr>
              <w:t xml:space="preserve"> </w:t>
            </w:r>
          </w:p>
          <w:p>
            <w:pPr>
              <w:autoSpaceDE w:val="0"/>
              <w:autoSpaceDN w:val="0"/>
              <w:adjustRightInd w:val="0"/>
              <w:spacing w:before="53" w:line="340" w:lineRule="exact"/>
              <w:ind w:left="414" w:leftChars="197"/>
              <w:jc w:val="left"/>
              <w:rPr>
                <w:rFonts w:hint="eastAsia" w:ascii="宋体" w:hAnsi="宋体" w:cs="宋体"/>
                <w:color w:val="auto"/>
                <w:kern w:val="0"/>
                <w:sz w:val="24"/>
                <w:szCs w:val="24"/>
              </w:rPr>
            </w:pPr>
            <w:r>
              <w:rPr>
                <w:rFonts w:ascii="宋体" w:hAnsi="宋体"/>
                <w:color w:val="auto"/>
                <w:kern w:val="0"/>
                <w:sz w:val="24"/>
                <w:szCs w:val="24"/>
              </w:rPr>
              <w:t>c.</w:t>
            </w:r>
            <w:r>
              <w:rPr>
                <w:rFonts w:hint="eastAsia" w:ascii="宋体" w:hAnsi="宋体" w:cs="宋体"/>
                <w:color w:val="auto"/>
                <w:kern w:val="0"/>
                <w:sz w:val="24"/>
                <w:szCs w:val="24"/>
              </w:rPr>
              <w:t>投标人未</w:t>
            </w:r>
            <w:r>
              <w:rPr>
                <w:rFonts w:hint="eastAsia" w:ascii="宋体" w:hAnsi="宋体" w:cs="宋体"/>
                <w:color w:val="auto"/>
                <w:spacing w:val="-1"/>
                <w:kern w:val="0"/>
                <w:sz w:val="24"/>
                <w:szCs w:val="24"/>
              </w:rPr>
              <w:t>提</w:t>
            </w:r>
            <w:r>
              <w:rPr>
                <w:rFonts w:hint="eastAsia" w:ascii="宋体" w:hAnsi="宋体" w:cs="宋体"/>
                <w:color w:val="auto"/>
                <w:kern w:val="0"/>
                <w:sz w:val="24"/>
                <w:szCs w:val="24"/>
              </w:rPr>
              <w:t>出不同的工程验收、计量、支付办法；</w:t>
            </w:r>
            <w:r>
              <w:rPr>
                <w:rFonts w:ascii="宋体" w:hAnsi="宋体" w:cs="宋体"/>
                <w:color w:val="auto"/>
                <w:kern w:val="0"/>
                <w:sz w:val="24"/>
                <w:szCs w:val="24"/>
              </w:rPr>
              <w:t xml:space="preserve"> </w:t>
            </w:r>
          </w:p>
          <w:p>
            <w:pPr>
              <w:autoSpaceDE w:val="0"/>
              <w:autoSpaceDN w:val="0"/>
              <w:adjustRightInd w:val="0"/>
              <w:spacing w:before="53" w:line="340" w:lineRule="exact"/>
              <w:ind w:left="414" w:leftChars="197"/>
              <w:jc w:val="left"/>
              <w:rPr>
                <w:rFonts w:hint="eastAsia" w:ascii="宋体" w:hAnsi="宋体" w:cs="宋体"/>
                <w:color w:val="auto"/>
                <w:kern w:val="0"/>
                <w:sz w:val="24"/>
                <w:szCs w:val="24"/>
              </w:rPr>
            </w:pPr>
            <w:r>
              <w:rPr>
                <w:rFonts w:ascii="宋体" w:hAnsi="宋体"/>
                <w:color w:val="auto"/>
                <w:spacing w:val="1"/>
                <w:kern w:val="0"/>
                <w:sz w:val="24"/>
                <w:szCs w:val="24"/>
              </w:rPr>
              <w:t>d</w:t>
            </w:r>
            <w:r>
              <w:rPr>
                <w:rFonts w:ascii="宋体" w:hAnsi="宋体"/>
                <w:color w:val="auto"/>
                <w:kern w:val="0"/>
                <w:sz w:val="24"/>
                <w:szCs w:val="24"/>
              </w:rPr>
              <w:t>.</w:t>
            </w:r>
            <w:r>
              <w:rPr>
                <w:rFonts w:hint="eastAsia" w:ascii="宋体" w:hAnsi="宋体" w:cs="宋体"/>
                <w:color w:val="auto"/>
                <w:kern w:val="0"/>
                <w:sz w:val="24"/>
                <w:szCs w:val="24"/>
              </w:rPr>
              <w:t>投标人对</w:t>
            </w:r>
            <w:r>
              <w:rPr>
                <w:rFonts w:hint="eastAsia" w:ascii="宋体" w:hAnsi="宋体" w:cs="宋体"/>
                <w:color w:val="auto"/>
                <w:spacing w:val="-1"/>
                <w:kern w:val="0"/>
                <w:sz w:val="24"/>
                <w:szCs w:val="24"/>
              </w:rPr>
              <w:t>合</w:t>
            </w:r>
            <w:r>
              <w:rPr>
                <w:rFonts w:hint="eastAsia" w:ascii="宋体" w:hAnsi="宋体" w:cs="宋体"/>
                <w:color w:val="auto"/>
                <w:kern w:val="0"/>
                <w:sz w:val="24"/>
                <w:szCs w:val="24"/>
              </w:rPr>
              <w:t>同纠纷、事故处理办法未提出异议；</w:t>
            </w:r>
            <w:r>
              <w:rPr>
                <w:rFonts w:ascii="宋体" w:hAnsi="宋体" w:cs="宋体"/>
                <w:color w:val="auto"/>
                <w:kern w:val="0"/>
                <w:sz w:val="24"/>
                <w:szCs w:val="24"/>
              </w:rPr>
              <w:t xml:space="preserve"> </w:t>
            </w:r>
          </w:p>
          <w:p>
            <w:pPr>
              <w:autoSpaceDE w:val="0"/>
              <w:autoSpaceDN w:val="0"/>
              <w:adjustRightInd w:val="0"/>
              <w:spacing w:before="53" w:line="340" w:lineRule="exact"/>
              <w:ind w:left="414" w:leftChars="197"/>
              <w:jc w:val="left"/>
              <w:rPr>
                <w:rFonts w:hint="eastAsia" w:ascii="宋体" w:hAnsi="宋体" w:cs="宋体"/>
                <w:color w:val="auto"/>
                <w:kern w:val="0"/>
                <w:sz w:val="24"/>
                <w:szCs w:val="24"/>
              </w:rPr>
            </w:pPr>
            <w:r>
              <w:rPr>
                <w:rFonts w:ascii="宋体" w:hAnsi="宋体"/>
                <w:color w:val="auto"/>
                <w:kern w:val="0"/>
                <w:sz w:val="24"/>
                <w:szCs w:val="24"/>
              </w:rPr>
              <w:t>e.</w:t>
            </w:r>
            <w:r>
              <w:rPr>
                <w:rFonts w:hint="eastAsia" w:ascii="宋体" w:hAnsi="宋体" w:cs="宋体"/>
                <w:color w:val="auto"/>
                <w:kern w:val="0"/>
                <w:sz w:val="24"/>
                <w:szCs w:val="24"/>
              </w:rPr>
              <w:t>投标人在</w:t>
            </w:r>
            <w:r>
              <w:rPr>
                <w:rFonts w:hint="eastAsia" w:ascii="宋体" w:hAnsi="宋体" w:cs="宋体"/>
                <w:color w:val="auto"/>
                <w:spacing w:val="-1"/>
                <w:kern w:val="0"/>
                <w:sz w:val="24"/>
                <w:szCs w:val="24"/>
              </w:rPr>
              <w:t>投</w:t>
            </w:r>
            <w:r>
              <w:rPr>
                <w:rFonts w:hint="eastAsia" w:ascii="宋体" w:hAnsi="宋体" w:cs="宋体"/>
                <w:color w:val="auto"/>
                <w:kern w:val="0"/>
                <w:sz w:val="24"/>
                <w:szCs w:val="24"/>
              </w:rPr>
              <w:t>标活动中无欺诈行为；</w:t>
            </w:r>
            <w:r>
              <w:rPr>
                <w:rFonts w:ascii="宋体" w:hAnsi="宋体" w:cs="宋体"/>
                <w:color w:val="auto"/>
                <w:kern w:val="0"/>
                <w:sz w:val="24"/>
                <w:szCs w:val="24"/>
              </w:rPr>
              <w:t xml:space="preserve"> </w:t>
            </w:r>
          </w:p>
          <w:p>
            <w:pPr>
              <w:autoSpaceDE w:val="0"/>
              <w:autoSpaceDN w:val="0"/>
              <w:adjustRightInd w:val="0"/>
              <w:spacing w:before="53" w:line="340" w:lineRule="exact"/>
              <w:ind w:left="414" w:leftChars="197"/>
              <w:jc w:val="left"/>
              <w:rPr>
                <w:rFonts w:hint="eastAsia" w:ascii="宋体" w:hAnsi="宋体" w:cs="宋体"/>
                <w:color w:val="auto"/>
                <w:kern w:val="0"/>
                <w:sz w:val="24"/>
                <w:szCs w:val="24"/>
              </w:rPr>
            </w:pPr>
            <w:r>
              <w:rPr>
                <w:rFonts w:ascii="宋体" w:hAnsi="宋体"/>
                <w:color w:val="auto"/>
                <w:kern w:val="0"/>
                <w:sz w:val="24"/>
                <w:szCs w:val="24"/>
              </w:rPr>
              <w:t>f.</w:t>
            </w:r>
            <w:r>
              <w:rPr>
                <w:rFonts w:hint="eastAsia" w:ascii="宋体" w:hAnsi="宋体" w:cs="宋体"/>
                <w:color w:val="auto"/>
                <w:kern w:val="0"/>
                <w:sz w:val="24"/>
                <w:szCs w:val="24"/>
              </w:rPr>
              <w:t>投标人未对合同条款有重要保留。</w:t>
            </w:r>
          </w:p>
          <w:p>
            <w:pPr>
              <w:autoSpaceDE w:val="0"/>
              <w:autoSpaceDN w:val="0"/>
              <w:adjustRightInd w:val="0"/>
              <w:spacing w:before="53" w:line="340" w:lineRule="exact"/>
              <w:jc w:val="left"/>
              <w:rPr>
                <w:rFonts w:hint="eastAsia" w:ascii="宋体" w:hAnsi="宋体" w:cs="宋体"/>
                <w:color w:val="auto"/>
                <w:kern w:val="0"/>
                <w:sz w:val="24"/>
                <w:szCs w:val="24"/>
              </w:rPr>
            </w:pPr>
            <w:r>
              <w:rPr>
                <w:rFonts w:hint="eastAsia" w:ascii="宋体" w:hAnsi="宋体"/>
                <w:color w:val="auto"/>
                <w:kern w:val="0"/>
                <w:sz w:val="24"/>
                <w:szCs w:val="24"/>
              </w:rPr>
              <w:t>(12)</w:t>
            </w:r>
            <w:r>
              <w:rPr>
                <w:rFonts w:hint="eastAsia"/>
                <w:color w:val="auto"/>
                <w:sz w:val="24"/>
                <w:szCs w:val="24"/>
              </w:rPr>
              <w:t>投标文件第一个信封（商务文件）未出现有关投标报价的内容。</w:t>
            </w:r>
          </w:p>
          <w:p>
            <w:pPr>
              <w:autoSpaceDE w:val="0"/>
              <w:autoSpaceDN w:val="0"/>
              <w:adjustRightInd w:val="0"/>
              <w:spacing w:before="53" w:line="340" w:lineRule="exact"/>
              <w:jc w:val="left"/>
              <w:rPr>
                <w:rFonts w:hint="eastAsia" w:ascii="宋体" w:hAnsi="宋体" w:cs="宋体"/>
                <w:color w:val="auto"/>
                <w:kern w:val="0"/>
                <w:sz w:val="24"/>
                <w:szCs w:val="24"/>
              </w:rPr>
            </w:pPr>
            <w:r>
              <w:rPr>
                <w:rFonts w:hint="eastAsia" w:ascii="宋体" w:hAnsi="宋体"/>
                <w:color w:val="auto"/>
                <w:kern w:val="0"/>
                <w:sz w:val="24"/>
                <w:szCs w:val="24"/>
              </w:rPr>
              <w:t>(13)</w:t>
            </w:r>
            <w:r>
              <w:rPr>
                <w:rFonts w:hint="eastAsia"/>
                <w:color w:val="auto"/>
                <w:sz w:val="24"/>
                <w:szCs w:val="24"/>
              </w:rPr>
              <w:t>投标人没有因违法、违规行为或重大质量、安全责任事故被国家住建部、交通运输部、广东省交通运输厅通报批评且取消投标资格或信用等级降低为D级等情况之一的。</w:t>
            </w:r>
            <w:r>
              <w:rPr>
                <w:rFonts w:ascii="宋体" w:hAnsi="宋体" w:cs="宋体"/>
                <w:color w:val="auto"/>
                <w:kern w:val="0"/>
                <w:sz w:val="24"/>
                <w:szCs w:val="24"/>
              </w:rPr>
              <w:t xml:space="preserve"> </w:t>
            </w:r>
          </w:p>
          <w:p>
            <w:pPr>
              <w:autoSpaceDE w:val="0"/>
              <w:autoSpaceDN w:val="0"/>
              <w:adjustRightInd w:val="0"/>
              <w:spacing w:before="53" w:line="340" w:lineRule="exact"/>
              <w:jc w:val="left"/>
              <w:rPr>
                <w:rFonts w:hint="eastAsia" w:ascii="宋体" w:hAnsi="宋体" w:cs="宋体"/>
                <w:color w:val="auto"/>
                <w:kern w:val="0"/>
                <w:sz w:val="24"/>
                <w:szCs w:val="24"/>
              </w:rPr>
            </w:pPr>
            <w:r>
              <w:rPr>
                <w:rFonts w:hint="eastAsia" w:ascii="宋体" w:hAnsi="宋体" w:cs="宋体"/>
                <w:color w:val="auto"/>
                <w:kern w:val="0"/>
                <w:sz w:val="24"/>
                <w:szCs w:val="24"/>
              </w:rPr>
              <w:t>(14)</w:t>
            </w:r>
            <w:r>
              <w:rPr>
                <w:rFonts w:hint="eastAsia"/>
                <w:color w:val="auto"/>
                <w:sz w:val="24"/>
                <w:szCs w:val="24"/>
              </w:rPr>
              <w:t xml:space="preserve"> </w:t>
            </w:r>
            <w:r>
              <w:rPr>
                <w:rFonts w:hint="eastAsia" w:ascii="宋体" w:hAnsi="宋体" w:cs="宋体"/>
                <w:color w:val="auto"/>
                <w:kern w:val="0"/>
                <w:sz w:val="24"/>
                <w:szCs w:val="24"/>
              </w:rPr>
              <w:t>至投标文件递交截止日，投标人提供法定代表人、拟委任的项目经理（含备选）、项目总工（含备选）以及投标人近三年均没有因行贿犯罪而被人民法院判决、裁定生效的行为的查询记录有效。</w:t>
            </w:r>
          </w:p>
          <w:p>
            <w:pPr>
              <w:autoSpaceDE w:val="0"/>
              <w:autoSpaceDN w:val="0"/>
              <w:adjustRightInd w:val="0"/>
              <w:spacing w:before="53" w:line="340" w:lineRule="exact"/>
              <w:jc w:val="left"/>
              <w:rPr>
                <w:rFonts w:hint="eastAsia" w:ascii="宋体" w:hAnsi="宋体" w:cs="宋体"/>
                <w:color w:val="auto"/>
                <w:kern w:val="0"/>
                <w:sz w:val="24"/>
                <w:szCs w:val="24"/>
              </w:rPr>
            </w:pPr>
            <w:r>
              <w:rPr>
                <w:rFonts w:hint="eastAsia" w:ascii="宋体" w:hAnsi="宋体" w:cs="宋体"/>
                <w:color w:val="auto"/>
                <w:kern w:val="0"/>
                <w:sz w:val="24"/>
                <w:szCs w:val="24"/>
              </w:rPr>
              <w:t>(15)</w:t>
            </w:r>
            <w:r>
              <w:rPr>
                <w:rFonts w:hint="eastAsia"/>
                <w:color w:val="auto"/>
                <w:sz w:val="24"/>
                <w:szCs w:val="24"/>
              </w:rPr>
              <w:t xml:space="preserve"> </w:t>
            </w:r>
            <w:r>
              <w:rPr>
                <w:rFonts w:hint="eastAsia" w:ascii="宋体" w:hAnsi="宋体" w:cs="宋体"/>
                <w:color w:val="auto"/>
                <w:kern w:val="0"/>
                <w:sz w:val="24"/>
                <w:szCs w:val="24"/>
              </w:rPr>
              <w:t>投标文件未附有招标人不能接受的条件。</w:t>
            </w:r>
          </w:p>
          <w:p>
            <w:pPr>
              <w:autoSpaceDE w:val="0"/>
              <w:autoSpaceDN w:val="0"/>
              <w:adjustRightInd w:val="0"/>
              <w:spacing w:before="37" w:line="340" w:lineRule="exact"/>
              <w:jc w:val="left"/>
              <w:rPr>
                <w:rFonts w:hint="eastAsia"/>
                <w:b/>
                <w:color w:val="auto"/>
                <w:sz w:val="24"/>
                <w:szCs w:val="24"/>
              </w:rPr>
            </w:pPr>
            <w:r>
              <w:rPr>
                <w:rFonts w:hint="eastAsia"/>
                <w:b/>
                <w:color w:val="auto"/>
                <w:sz w:val="24"/>
                <w:szCs w:val="24"/>
              </w:rPr>
              <w:t>第二信封（报价文件）的评审：</w:t>
            </w:r>
          </w:p>
          <w:p>
            <w:pPr>
              <w:autoSpaceDE w:val="0"/>
              <w:autoSpaceDN w:val="0"/>
              <w:adjustRightInd w:val="0"/>
              <w:spacing w:before="53" w:line="340" w:lineRule="exact"/>
              <w:jc w:val="left"/>
              <w:rPr>
                <w:rFonts w:hint="eastAsia" w:ascii="宋体" w:hAnsi="宋体" w:cs="宋体"/>
                <w:color w:val="auto"/>
                <w:kern w:val="0"/>
                <w:sz w:val="24"/>
                <w:szCs w:val="24"/>
              </w:rPr>
            </w:pPr>
            <w:r>
              <w:rPr>
                <w:rFonts w:hint="eastAsia" w:ascii="宋体" w:hAnsi="宋体" w:cs="宋体"/>
                <w:color w:val="auto"/>
                <w:kern w:val="0"/>
                <w:sz w:val="24"/>
                <w:szCs w:val="24"/>
              </w:rPr>
              <w:t xml:space="preserve">(1)投标文件按照招标文件规定的格式、内容填写，字迹清晰可辨： </w:t>
            </w:r>
          </w:p>
          <w:p>
            <w:pPr>
              <w:autoSpaceDE w:val="0"/>
              <w:autoSpaceDN w:val="0"/>
              <w:adjustRightInd w:val="0"/>
              <w:spacing w:before="53" w:line="340" w:lineRule="exact"/>
              <w:jc w:val="left"/>
              <w:rPr>
                <w:rFonts w:hint="eastAsia" w:ascii="宋体" w:hAnsi="宋体" w:cs="宋体"/>
                <w:color w:val="auto"/>
                <w:kern w:val="0"/>
                <w:sz w:val="24"/>
                <w:szCs w:val="24"/>
              </w:rPr>
            </w:pPr>
            <w:r>
              <w:rPr>
                <w:rFonts w:hint="eastAsia" w:ascii="宋体" w:hAnsi="宋体" w:cs="宋体"/>
                <w:color w:val="auto"/>
                <w:kern w:val="0"/>
                <w:sz w:val="24"/>
                <w:szCs w:val="24"/>
              </w:rPr>
              <w:t xml:space="preserve">a.报价函按招标文件规定填报了投标报价； </w:t>
            </w:r>
          </w:p>
          <w:p>
            <w:pPr>
              <w:autoSpaceDE w:val="0"/>
              <w:autoSpaceDN w:val="0"/>
              <w:adjustRightInd w:val="0"/>
              <w:spacing w:before="53" w:line="340" w:lineRule="exact"/>
              <w:jc w:val="left"/>
              <w:rPr>
                <w:rFonts w:hint="eastAsia" w:ascii="宋体" w:hAnsi="宋体" w:cs="宋体"/>
                <w:color w:val="auto"/>
                <w:kern w:val="0"/>
                <w:sz w:val="24"/>
                <w:szCs w:val="24"/>
              </w:rPr>
            </w:pPr>
            <w:r>
              <w:rPr>
                <w:rFonts w:hint="eastAsia" w:ascii="宋体" w:hAnsi="宋体" w:cs="宋体"/>
                <w:color w:val="auto"/>
                <w:kern w:val="0"/>
                <w:sz w:val="24"/>
                <w:szCs w:val="24"/>
              </w:rPr>
              <w:t xml:space="preserve">b. 已标价工程量清单及清单说明文字与招标文件规定一致，未进行修改和删减； </w:t>
            </w:r>
          </w:p>
          <w:p>
            <w:pPr>
              <w:autoSpaceDE w:val="0"/>
              <w:autoSpaceDN w:val="0"/>
              <w:adjustRightInd w:val="0"/>
              <w:spacing w:before="53" w:line="340" w:lineRule="exact"/>
              <w:jc w:val="left"/>
              <w:rPr>
                <w:rFonts w:hint="eastAsia" w:ascii="宋体" w:hAnsi="宋体" w:cs="宋体"/>
                <w:color w:val="auto"/>
                <w:kern w:val="0"/>
                <w:sz w:val="24"/>
                <w:szCs w:val="24"/>
              </w:rPr>
            </w:pPr>
            <w:r>
              <w:rPr>
                <w:rFonts w:hint="eastAsia" w:ascii="宋体" w:hAnsi="宋体" w:cs="宋体"/>
                <w:color w:val="auto"/>
                <w:kern w:val="0"/>
                <w:sz w:val="24"/>
                <w:szCs w:val="24"/>
              </w:rPr>
              <w:t xml:space="preserve">c.投标文件（第二信封）组成齐全完整，内容均按规定填写。 </w:t>
            </w:r>
          </w:p>
          <w:p>
            <w:pPr>
              <w:autoSpaceDE w:val="0"/>
              <w:autoSpaceDN w:val="0"/>
              <w:adjustRightInd w:val="0"/>
              <w:spacing w:before="53" w:line="340" w:lineRule="exact"/>
              <w:jc w:val="left"/>
              <w:rPr>
                <w:rFonts w:hint="eastAsia" w:ascii="宋体" w:hAnsi="宋体" w:cs="宋体"/>
                <w:color w:val="auto"/>
                <w:kern w:val="0"/>
                <w:sz w:val="24"/>
                <w:szCs w:val="24"/>
              </w:rPr>
            </w:pPr>
            <w:r>
              <w:rPr>
                <w:rFonts w:hint="eastAsia" w:ascii="宋体" w:hAnsi="宋体" w:cs="宋体"/>
                <w:color w:val="auto"/>
                <w:kern w:val="0"/>
                <w:sz w:val="24"/>
                <w:szCs w:val="24"/>
              </w:rPr>
              <w:t xml:space="preserve">(2) 投标文件上法定代表人或其授权代理人的签字、投标人的单位章盖章齐全，符合招标文件投标人须知 3.7.3 的规定。 </w:t>
            </w:r>
          </w:p>
          <w:p>
            <w:pPr>
              <w:autoSpaceDE w:val="0"/>
              <w:autoSpaceDN w:val="0"/>
              <w:adjustRightInd w:val="0"/>
              <w:spacing w:before="53" w:line="340" w:lineRule="exact"/>
              <w:jc w:val="left"/>
              <w:rPr>
                <w:rFonts w:hint="eastAsia" w:ascii="宋体" w:hAnsi="宋体" w:cs="宋体"/>
                <w:color w:val="auto"/>
                <w:kern w:val="0"/>
                <w:sz w:val="24"/>
                <w:szCs w:val="24"/>
              </w:rPr>
            </w:pPr>
            <w:r>
              <w:rPr>
                <w:rFonts w:hint="eastAsia" w:ascii="宋体" w:hAnsi="宋体" w:cs="宋体"/>
                <w:color w:val="auto"/>
                <w:kern w:val="0"/>
                <w:sz w:val="24"/>
                <w:szCs w:val="24"/>
              </w:rPr>
              <w:t xml:space="preserve">(3)投标人若填写工程量固化清单，填写完毕的工程量固化清单未对工程量固化清单电子文件中的数据、格式和运算定义进行修改。 </w:t>
            </w:r>
          </w:p>
          <w:p>
            <w:pPr>
              <w:autoSpaceDE w:val="0"/>
              <w:autoSpaceDN w:val="0"/>
              <w:adjustRightInd w:val="0"/>
              <w:spacing w:before="53" w:line="340" w:lineRule="exact"/>
              <w:jc w:val="left"/>
              <w:rPr>
                <w:rFonts w:hint="eastAsia" w:ascii="宋体" w:hAnsi="宋体" w:cs="宋体"/>
                <w:color w:val="auto"/>
                <w:kern w:val="0"/>
                <w:sz w:val="24"/>
                <w:szCs w:val="24"/>
              </w:rPr>
            </w:pPr>
            <w:r>
              <w:rPr>
                <w:rFonts w:hint="eastAsia" w:ascii="宋体" w:hAnsi="宋体" w:cs="宋体"/>
                <w:color w:val="auto"/>
                <w:kern w:val="0"/>
                <w:sz w:val="24"/>
                <w:szCs w:val="24"/>
              </w:rPr>
              <w:t xml:space="preserve">(4)同一标段的同一投标人没有提交两个以上投标报价，但招标文件要求提交备选投标的除外。 </w:t>
            </w:r>
          </w:p>
          <w:p>
            <w:pPr>
              <w:autoSpaceDE w:val="0"/>
              <w:autoSpaceDN w:val="0"/>
              <w:adjustRightInd w:val="0"/>
              <w:spacing w:before="53" w:line="340" w:lineRule="exact"/>
              <w:jc w:val="left"/>
              <w:rPr>
                <w:rFonts w:hint="eastAsia" w:ascii="宋体" w:hAnsi="宋体" w:cs="宋体"/>
                <w:color w:val="auto"/>
                <w:kern w:val="0"/>
                <w:sz w:val="24"/>
                <w:szCs w:val="24"/>
              </w:rPr>
            </w:pPr>
            <w:r>
              <w:rPr>
                <w:rFonts w:hint="eastAsia" w:ascii="宋体" w:hAnsi="宋体" w:cs="宋体"/>
                <w:color w:val="auto"/>
                <w:kern w:val="0"/>
                <w:sz w:val="24"/>
                <w:szCs w:val="24"/>
              </w:rPr>
              <w:t xml:space="preserve">(5)投标人若提交调价函，调价函符合招标文件要求(若需)。 </w:t>
            </w:r>
          </w:p>
          <w:p>
            <w:pPr>
              <w:autoSpaceDE w:val="0"/>
              <w:autoSpaceDN w:val="0"/>
              <w:adjustRightInd w:val="0"/>
              <w:spacing w:before="53" w:line="340" w:lineRule="exact"/>
              <w:jc w:val="left"/>
              <w:rPr>
                <w:rFonts w:hint="eastAsia" w:ascii="宋体" w:hAnsi="宋体" w:cs="宋体"/>
                <w:color w:val="auto"/>
                <w:kern w:val="0"/>
                <w:sz w:val="24"/>
                <w:szCs w:val="24"/>
              </w:rPr>
            </w:pPr>
            <w:r>
              <w:rPr>
                <w:rFonts w:hint="eastAsia" w:ascii="宋体" w:hAnsi="宋体" w:cs="宋体"/>
                <w:color w:val="auto"/>
                <w:kern w:val="0"/>
                <w:sz w:val="24"/>
                <w:szCs w:val="24"/>
              </w:rPr>
              <w:t xml:space="preserve">(6）评标价不大于招标人最高投标限价。 </w:t>
            </w:r>
          </w:p>
          <w:p>
            <w:pPr>
              <w:autoSpaceDE w:val="0"/>
              <w:autoSpaceDN w:val="0"/>
              <w:adjustRightInd w:val="0"/>
              <w:spacing w:before="53" w:line="340" w:lineRule="exact"/>
              <w:jc w:val="left"/>
              <w:rPr>
                <w:rFonts w:ascii="宋体" w:hAnsi="宋体" w:cs="宋体"/>
                <w:color w:val="auto"/>
                <w:kern w:val="0"/>
                <w:sz w:val="24"/>
                <w:szCs w:val="24"/>
              </w:rPr>
            </w:pPr>
            <w:r>
              <w:rPr>
                <w:rFonts w:hint="eastAsia" w:ascii="宋体" w:hAnsi="宋体" w:cs="宋体"/>
                <w:color w:val="auto"/>
                <w:kern w:val="0"/>
                <w:sz w:val="24"/>
                <w:szCs w:val="24"/>
              </w:rPr>
              <w:t>(7）投标文件正、副本份数符合第二章“投标人须知”第 3.7.4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44" w:hRule="atLeast"/>
          <w:jc w:val="center"/>
        </w:trPr>
        <w:tc>
          <w:tcPr>
            <w:tcW w:w="931" w:type="dxa"/>
            <w:vAlign w:val="center"/>
          </w:tcPr>
          <w:p>
            <w:pPr>
              <w:spacing w:line="360" w:lineRule="exact"/>
              <w:jc w:val="center"/>
              <w:rPr>
                <w:rFonts w:hint="eastAsia" w:ascii="宋体" w:hAnsi="宋体"/>
                <w:snapToGrid w:val="0"/>
                <w:color w:val="auto"/>
                <w:kern w:val="0"/>
                <w:sz w:val="24"/>
                <w:szCs w:val="24"/>
              </w:rPr>
            </w:pPr>
            <w:r>
              <w:rPr>
                <w:rFonts w:hint="eastAsia" w:ascii="宋体" w:hAnsi="宋体"/>
                <w:snapToGrid w:val="0"/>
                <w:color w:val="auto"/>
                <w:kern w:val="0"/>
                <w:sz w:val="24"/>
                <w:szCs w:val="24"/>
              </w:rPr>
              <w:t>2.1.2</w:t>
            </w:r>
          </w:p>
        </w:tc>
        <w:tc>
          <w:tcPr>
            <w:tcW w:w="1009" w:type="dxa"/>
            <w:vAlign w:val="center"/>
          </w:tcPr>
          <w:p>
            <w:pPr>
              <w:spacing w:line="360" w:lineRule="exact"/>
              <w:rPr>
                <w:rFonts w:hint="eastAsia" w:ascii="宋体" w:hAnsi="宋体" w:cs="宋体"/>
                <w:color w:val="auto"/>
                <w:kern w:val="0"/>
                <w:sz w:val="24"/>
                <w:szCs w:val="24"/>
              </w:rPr>
            </w:pPr>
            <w:r>
              <w:rPr>
                <w:rFonts w:hint="eastAsia" w:ascii="宋体" w:hAnsi="宋体" w:cs="宋体"/>
                <w:color w:val="auto"/>
                <w:kern w:val="0"/>
                <w:sz w:val="24"/>
                <w:szCs w:val="24"/>
              </w:rPr>
              <w:t>资格评审标准</w:t>
            </w:r>
          </w:p>
          <w:p>
            <w:pPr>
              <w:spacing w:line="360" w:lineRule="exact"/>
              <w:rPr>
                <w:rFonts w:ascii="宋体" w:hAnsi="宋体"/>
                <w:snapToGrid w:val="0"/>
                <w:color w:val="auto"/>
                <w:kern w:val="0"/>
                <w:sz w:val="24"/>
                <w:szCs w:val="24"/>
              </w:rPr>
            </w:pPr>
            <w:r>
              <w:rPr>
                <w:rFonts w:hint="eastAsia"/>
                <w:b/>
                <w:color w:val="auto"/>
                <w:sz w:val="24"/>
                <w:szCs w:val="24"/>
              </w:rPr>
              <w:t>即：第一个信封（商务文件）评审</w:t>
            </w:r>
          </w:p>
        </w:tc>
        <w:tc>
          <w:tcPr>
            <w:tcW w:w="8764" w:type="dxa"/>
            <w:vAlign w:val="top"/>
          </w:tcPr>
          <w:p>
            <w:pPr>
              <w:autoSpaceDE w:val="0"/>
              <w:autoSpaceDN w:val="0"/>
              <w:adjustRightInd w:val="0"/>
              <w:spacing w:line="340" w:lineRule="exact"/>
              <w:jc w:val="left"/>
              <w:rPr>
                <w:rFonts w:ascii="宋体" w:hAnsi="宋体" w:cs="宋体"/>
                <w:color w:val="auto"/>
                <w:kern w:val="0"/>
                <w:sz w:val="24"/>
                <w:szCs w:val="24"/>
              </w:rPr>
            </w:pPr>
            <w:r>
              <w:rPr>
                <w:rFonts w:ascii="宋体" w:hAnsi="宋体"/>
                <w:color w:val="auto"/>
                <w:kern w:val="0"/>
                <w:sz w:val="24"/>
                <w:szCs w:val="24"/>
              </w:rPr>
              <w:t>(1)</w:t>
            </w:r>
            <w:r>
              <w:rPr>
                <w:rFonts w:hint="eastAsia" w:ascii="宋体" w:hAnsi="宋体" w:cs="宋体"/>
                <w:color w:val="auto"/>
                <w:kern w:val="0"/>
                <w:sz w:val="24"/>
                <w:szCs w:val="24"/>
              </w:rPr>
              <w:t>投标人具备有效的营业执照、资质证书和安全生产许可证和基本账户开户许可证；</w:t>
            </w:r>
          </w:p>
          <w:p>
            <w:pPr>
              <w:autoSpaceDE w:val="0"/>
              <w:autoSpaceDN w:val="0"/>
              <w:adjustRightInd w:val="0"/>
              <w:spacing w:line="340" w:lineRule="exact"/>
              <w:jc w:val="left"/>
              <w:rPr>
                <w:rFonts w:hint="eastAsia" w:ascii="宋体" w:hAnsi="宋体" w:cs="宋体"/>
                <w:color w:val="auto"/>
                <w:kern w:val="0"/>
                <w:sz w:val="24"/>
                <w:szCs w:val="24"/>
              </w:rPr>
            </w:pPr>
            <w:r>
              <w:rPr>
                <w:rFonts w:ascii="宋体" w:hAnsi="宋体"/>
                <w:color w:val="auto"/>
                <w:kern w:val="0"/>
                <w:sz w:val="24"/>
                <w:szCs w:val="24"/>
              </w:rPr>
              <w:t>(2)</w:t>
            </w:r>
            <w:r>
              <w:rPr>
                <w:rFonts w:hint="eastAsia" w:ascii="宋体" w:hAnsi="宋体" w:cs="宋体"/>
                <w:color w:val="auto"/>
                <w:kern w:val="0"/>
                <w:sz w:val="24"/>
                <w:szCs w:val="24"/>
              </w:rPr>
              <w:t>投标人的资质等级符合招标文件规定；</w:t>
            </w:r>
            <w:r>
              <w:rPr>
                <w:rFonts w:ascii="宋体" w:hAnsi="宋体" w:cs="宋体"/>
                <w:color w:val="auto"/>
                <w:kern w:val="0"/>
                <w:sz w:val="24"/>
                <w:szCs w:val="24"/>
              </w:rPr>
              <w:t xml:space="preserve"> </w:t>
            </w:r>
          </w:p>
          <w:p>
            <w:pPr>
              <w:autoSpaceDE w:val="0"/>
              <w:autoSpaceDN w:val="0"/>
              <w:adjustRightInd w:val="0"/>
              <w:spacing w:line="340" w:lineRule="exact"/>
              <w:jc w:val="left"/>
              <w:rPr>
                <w:rFonts w:hint="eastAsia" w:ascii="宋体" w:hAnsi="宋体" w:cs="宋体"/>
                <w:color w:val="auto"/>
                <w:kern w:val="0"/>
                <w:sz w:val="24"/>
                <w:szCs w:val="24"/>
              </w:rPr>
            </w:pPr>
            <w:r>
              <w:rPr>
                <w:rFonts w:ascii="宋体" w:hAnsi="宋体"/>
                <w:color w:val="auto"/>
                <w:kern w:val="0"/>
                <w:sz w:val="24"/>
                <w:szCs w:val="24"/>
              </w:rPr>
              <w:t>(3)</w:t>
            </w:r>
            <w:r>
              <w:rPr>
                <w:rFonts w:hint="eastAsia" w:ascii="宋体" w:hAnsi="宋体" w:cs="宋体"/>
                <w:color w:val="auto"/>
                <w:kern w:val="0"/>
                <w:sz w:val="24"/>
                <w:szCs w:val="24"/>
              </w:rPr>
              <w:t>投标人的财务状况符合招标文件规定；</w:t>
            </w:r>
            <w:r>
              <w:rPr>
                <w:rFonts w:ascii="宋体" w:hAnsi="宋体" w:cs="宋体"/>
                <w:color w:val="auto"/>
                <w:kern w:val="0"/>
                <w:sz w:val="24"/>
                <w:szCs w:val="24"/>
              </w:rPr>
              <w:t xml:space="preserve"> </w:t>
            </w:r>
          </w:p>
          <w:p>
            <w:pPr>
              <w:autoSpaceDE w:val="0"/>
              <w:autoSpaceDN w:val="0"/>
              <w:adjustRightInd w:val="0"/>
              <w:spacing w:line="340" w:lineRule="exact"/>
              <w:jc w:val="left"/>
              <w:rPr>
                <w:rFonts w:hint="eastAsia" w:ascii="宋体" w:hAnsi="宋体" w:cs="宋体"/>
                <w:color w:val="auto"/>
                <w:kern w:val="0"/>
                <w:sz w:val="24"/>
                <w:szCs w:val="24"/>
              </w:rPr>
            </w:pPr>
            <w:r>
              <w:rPr>
                <w:rFonts w:ascii="宋体" w:hAnsi="宋体"/>
                <w:color w:val="auto"/>
                <w:kern w:val="0"/>
                <w:sz w:val="24"/>
                <w:szCs w:val="24"/>
              </w:rPr>
              <w:t>(4)</w:t>
            </w:r>
            <w:r>
              <w:rPr>
                <w:rFonts w:hint="eastAsia" w:ascii="宋体" w:hAnsi="宋体" w:cs="宋体"/>
                <w:color w:val="auto"/>
                <w:kern w:val="0"/>
                <w:sz w:val="24"/>
                <w:szCs w:val="24"/>
              </w:rPr>
              <w:t>投标人的类似项目业绩符合招标文件规定；</w:t>
            </w:r>
            <w:r>
              <w:rPr>
                <w:rFonts w:ascii="宋体" w:hAnsi="宋体" w:cs="宋体"/>
                <w:color w:val="auto"/>
                <w:kern w:val="0"/>
                <w:sz w:val="24"/>
                <w:szCs w:val="24"/>
              </w:rPr>
              <w:t xml:space="preserve"> </w:t>
            </w:r>
          </w:p>
          <w:p>
            <w:pPr>
              <w:autoSpaceDE w:val="0"/>
              <w:autoSpaceDN w:val="0"/>
              <w:adjustRightInd w:val="0"/>
              <w:spacing w:line="340" w:lineRule="exact"/>
              <w:jc w:val="left"/>
              <w:rPr>
                <w:rFonts w:hint="eastAsia" w:ascii="宋体" w:hAnsi="宋体" w:cs="宋体"/>
                <w:color w:val="auto"/>
                <w:kern w:val="0"/>
                <w:sz w:val="24"/>
                <w:szCs w:val="24"/>
              </w:rPr>
            </w:pPr>
            <w:r>
              <w:rPr>
                <w:rFonts w:ascii="宋体" w:hAnsi="宋体"/>
                <w:color w:val="auto"/>
                <w:kern w:val="0"/>
                <w:sz w:val="24"/>
                <w:szCs w:val="24"/>
              </w:rPr>
              <w:t>(5)</w:t>
            </w:r>
            <w:r>
              <w:rPr>
                <w:rFonts w:hint="eastAsia" w:ascii="宋体" w:hAnsi="宋体" w:cs="宋体"/>
                <w:color w:val="auto"/>
                <w:kern w:val="0"/>
                <w:sz w:val="24"/>
                <w:szCs w:val="24"/>
              </w:rPr>
              <w:t>投标人的信誉符合招标文件规定；</w:t>
            </w:r>
            <w:r>
              <w:rPr>
                <w:rFonts w:ascii="宋体" w:hAnsi="宋体" w:cs="宋体"/>
                <w:color w:val="auto"/>
                <w:kern w:val="0"/>
                <w:sz w:val="24"/>
                <w:szCs w:val="24"/>
              </w:rPr>
              <w:t xml:space="preserve"> </w:t>
            </w:r>
          </w:p>
          <w:p>
            <w:pPr>
              <w:autoSpaceDE w:val="0"/>
              <w:autoSpaceDN w:val="0"/>
              <w:adjustRightInd w:val="0"/>
              <w:spacing w:line="340" w:lineRule="exact"/>
              <w:jc w:val="left"/>
              <w:rPr>
                <w:rFonts w:ascii="宋体" w:hAnsi="宋体" w:cs="宋体"/>
                <w:color w:val="auto"/>
                <w:kern w:val="0"/>
                <w:sz w:val="24"/>
                <w:szCs w:val="24"/>
              </w:rPr>
            </w:pPr>
            <w:r>
              <w:rPr>
                <w:rFonts w:ascii="宋体" w:hAnsi="宋体"/>
                <w:color w:val="auto"/>
                <w:kern w:val="0"/>
                <w:sz w:val="24"/>
                <w:szCs w:val="24"/>
              </w:rPr>
              <w:t>(6)</w:t>
            </w:r>
            <w:r>
              <w:rPr>
                <w:rFonts w:hint="eastAsia"/>
                <w:color w:val="auto"/>
                <w:sz w:val="24"/>
                <w:szCs w:val="24"/>
              </w:rPr>
              <w:t xml:space="preserve"> </w:t>
            </w:r>
            <w:r>
              <w:rPr>
                <w:rFonts w:hint="eastAsia" w:ascii="宋体" w:hAnsi="宋体" w:cs="宋体"/>
                <w:color w:val="auto"/>
                <w:kern w:val="0"/>
                <w:sz w:val="24"/>
                <w:szCs w:val="24"/>
              </w:rPr>
              <w:t>投标人的项目经理(包括备选人)和项目总工(包括备选人)资格符合招标文件规定；</w:t>
            </w:r>
          </w:p>
          <w:p>
            <w:pPr>
              <w:autoSpaceDE w:val="0"/>
              <w:autoSpaceDN w:val="0"/>
              <w:adjustRightInd w:val="0"/>
              <w:spacing w:line="340" w:lineRule="exact"/>
              <w:jc w:val="left"/>
              <w:rPr>
                <w:rFonts w:hint="eastAsia" w:ascii="宋体" w:hAnsi="宋体" w:cs="宋体"/>
                <w:color w:val="auto"/>
                <w:kern w:val="0"/>
                <w:sz w:val="24"/>
                <w:szCs w:val="24"/>
              </w:rPr>
            </w:pPr>
            <w:r>
              <w:rPr>
                <w:rFonts w:ascii="宋体" w:hAnsi="宋体"/>
                <w:color w:val="auto"/>
                <w:kern w:val="0"/>
                <w:sz w:val="24"/>
                <w:szCs w:val="24"/>
              </w:rPr>
              <w:t>(7)</w:t>
            </w:r>
            <w:r>
              <w:rPr>
                <w:rFonts w:hint="eastAsia" w:ascii="宋体" w:hAnsi="宋体" w:cs="宋体"/>
                <w:color w:val="auto"/>
                <w:kern w:val="0"/>
                <w:sz w:val="24"/>
                <w:szCs w:val="24"/>
              </w:rPr>
              <w:t>投标人的其他要求符合招标文件规定；</w:t>
            </w:r>
          </w:p>
          <w:p>
            <w:pPr>
              <w:autoSpaceDE w:val="0"/>
              <w:autoSpaceDN w:val="0"/>
              <w:adjustRightInd w:val="0"/>
              <w:spacing w:line="340" w:lineRule="exact"/>
              <w:jc w:val="left"/>
              <w:rPr>
                <w:rFonts w:hint="eastAsia" w:ascii="宋体" w:hAnsi="宋体" w:cs="宋体"/>
                <w:color w:val="auto"/>
                <w:kern w:val="0"/>
                <w:sz w:val="24"/>
                <w:szCs w:val="24"/>
              </w:rPr>
            </w:pPr>
            <w:r>
              <w:rPr>
                <w:rFonts w:ascii="宋体" w:hAnsi="宋体"/>
                <w:color w:val="auto"/>
                <w:kern w:val="0"/>
                <w:sz w:val="24"/>
                <w:szCs w:val="24"/>
              </w:rPr>
              <w:t>(</w:t>
            </w:r>
            <w:r>
              <w:rPr>
                <w:rFonts w:hint="eastAsia" w:ascii="宋体" w:hAnsi="宋体"/>
                <w:color w:val="auto"/>
                <w:kern w:val="0"/>
                <w:sz w:val="24"/>
                <w:szCs w:val="24"/>
              </w:rPr>
              <w:t>8</w:t>
            </w:r>
            <w:r>
              <w:rPr>
                <w:rFonts w:ascii="宋体" w:hAnsi="宋体"/>
                <w:color w:val="auto"/>
                <w:kern w:val="0"/>
                <w:sz w:val="24"/>
                <w:szCs w:val="24"/>
              </w:rPr>
              <w:t>)</w:t>
            </w:r>
            <w:r>
              <w:rPr>
                <w:rFonts w:hint="eastAsia" w:ascii="宋体" w:hAnsi="宋体" w:cs="宋体"/>
                <w:color w:val="auto"/>
                <w:kern w:val="0"/>
                <w:sz w:val="24"/>
                <w:szCs w:val="24"/>
              </w:rPr>
              <w:t>不存在第二章</w:t>
            </w:r>
            <w:r>
              <w:rPr>
                <w:rFonts w:ascii="宋体" w:hAnsi="宋体"/>
                <w:color w:val="auto"/>
                <w:kern w:val="0"/>
                <w:sz w:val="24"/>
                <w:szCs w:val="24"/>
              </w:rPr>
              <w:t>“</w:t>
            </w:r>
            <w:r>
              <w:rPr>
                <w:rFonts w:hint="eastAsia" w:ascii="宋体" w:hAnsi="宋体" w:cs="宋体"/>
                <w:color w:val="auto"/>
                <w:kern w:val="0"/>
                <w:sz w:val="24"/>
                <w:szCs w:val="24"/>
              </w:rPr>
              <w:t>投标人须知</w:t>
            </w:r>
            <w:r>
              <w:rPr>
                <w:rFonts w:ascii="宋体" w:hAnsi="宋体"/>
                <w:color w:val="auto"/>
                <w:kern w:val="0"/>
                <w:sz w:val="24"/>
                <w:szCs w:val="24"/>
              </w:rPr>
              <w:t>”</w:t>
            </w:r>
            <w:r>
              <w:rPr>
                <w:rFonts w:hint="eastAsia" w:ascii="宋体" w:hAnsi="宋体" w:cs="宋体"/>
                <w:color w:val="auto"/>
                <w:kern w:val="0"/>
                <w:sz w:val="24"/>
                <w:szCs w:val="24"/>
              </w:rPr>
              <w:t>第</w:t>
            </w:r>
            <w:r>
              <w:rPr>
                <w:rFonts w:ascii="宋体" w:hAnsi="宋体" w:cs="宋体"/>
                <w:color w:val="auto"/>
                <w:kern w:val="0"/>
                <w:sz w:val="24"/>
                <w:szCs w:val="24"/>
              </w:rPr>
              <w:t xml:space="preserve"> </w:t>
            </w:r>
            <w:r>
              <w:rPr>
                <w:rFonts w:ascii="宋体" w:hAnsi="宋体"/>
                <w:color w:val="auto"/>
                <w:kern w:val="0"/>
                <w:sz w:val="24"/>
                <w:szCs w:val="24"/>
              </w:rPr>
              <w:t xml:space="preserve">1.4.3 </w:t>
            </w:r>
            <w:r>
              <w:rPr>
                <w:rFonts w:hint="eastAsia" w:ascii="宋体" w:hAnsi="宋体" w:cs="宋体"/>
                <w:color w:val="auto"/>
                <w:kern w:val="0"/>
                <w:sz w:val="24"/>
                <w:szCs w:val="24"/>
              </w:rPr>
              <w:t>项规定的任何一种情形；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27" w:hRule="atLeast"/>
          <w:jc w:val="center"/>
        </w:trPr>
        <w:tc>
          <w:tcPr>
            <w:tcW w:w="931" w:type="dxa"/>
            <w:vAlign w:val="center"/>
          </w:tcPr>
          <w:p>
            <w:pPr>
              <w:rPr>
                <w:rFonts w:hint="eastAsia" w:ascii="宋体" w:hAnsi="宋体"/>
                <w:snapToGrid w:val="0"/>
                <w:color w:val="auto"/>
                <w:kern w:val="0"/>
                <w:sz w:val="24"/>
                <w:szCs w:val="24"/>
              </w:rPr>
            </w:pPr>
            <w:r>
              <w:rPr>
                <w:rFonts w:hint="eastAsia" w:ascii="宋体" w:hAnsi="宋体"/>
                <w:snapToGrid w:val="0"/>
                <w:color w:val="auto"/>
                <w:kern w:val="0"/>
                <w:sz w:val="24"/>
                <w:szCs w:val="24"/>
              </w:rPr>
              <w:t>2.1.4</w:t>
            </w:r>
          </w:p>
        </w:tc>
        <w:tc>
          <w:tcPr>
            <w:tcW w:w="1009" w:type="dxa"/>
            <w:vAlign w:val="center"/>
          </w:tcPr>
          <w:p>
            <w:pPr>
              <w:rPr>
                <w:rFonts w:hint="eastAsia"/>
                <w:color w:val="auto"/>
                <w:sz w:val="24"/>
                <w:szCs w:val="24"/>
              </w:rPr>
            </w:pPr>
            <w:r>
              <w:rPr>
                <w:rFonts w:hint="eastAsia"/>
                <w:color w:val="auto"/>
                <w:sz w:val="24"/>
                <w:szCs w:val="24"/>
              </w:rPr>
              <w:t>施工组织设计和项目管理机构评审标准</w:t>
            </w:r>
          </w:p>
        </w:tc>
        <w:tc>
          <w:tcPr>
            <w:tcW w:w="8764" w:type="dxa"/>
            <w:vAlign w:val="center"/>
          </w:tcPr>
          <w:p>
            <w:pPr>
              <w:rPr>
                <w:rFonts w:hint="eastAsia" w:ascii="宋体" w:hAnsi="宋体"/>
                <w:color w:val="auto"/>
                <w:sz w:val="24"/>
                <w:szCs w:val="24"/>
              </w:rPr>
            </w:pPr>
            <w:r>
              <w:rPr>
                <w:rFonts w:hint="eastAsia" w:ascii="宋体" w:hAnsi="宋体"/>
                <w:color w:val="auto"/>
                <w:sz w:val="24"/>
                <w:szCs w:val="24"/>
              </w:rPr>
              <w:t>无</w:t>
            </w:r>
          </w:p>
        </w:tc>
      </w:tr>
    </w:tbl>
    <w:p>
      <w:pPr>
        <w:rPr>
          <w:color w:val="auto"/>
          <w:sz w:val="24"/>
          <w:szCs w:val="24"/>
        </w:rPr>
      </w:pPr>
      <w:r>
        <w:rPr>
          <w:color w:val="auto"/>
          <w:sz w:val="24"/>
          <w:szCs w:val="24"/>
        </w:rPr>
        <w:br w:type="page"/>
      </w:r>
    </w:p>
    <w:tbl>
      <w:tblPr>
        <w:tblStyle w:val="5"/>
        <w:tblW w:w="9674" w:type="dxa"/>
        <w:jc w:val="center"/>
        <w:tblInd w:w="-15"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0" w:type="dxa"/>
          <w:bottom w:w="0" w:type="dxa"/>
          <w:right w:w="0" w:type="dxa"/>
        </w:tblCellMar>
      </w:tblPr>
      <w:tblGrid>
        <w:gridCol w:w="1204"/>
        <w:gridCol w:w="1600"/>
        <w:gridCol w:w="6870"/>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0" w:type="dxa"/>
            <w:bottom w:w="0" w:type="dxa"/>
            <w:right w:w="0" w:type="dxa"/>
          </w:tblCellMar>
        </w:tblPrEx>
        <w:trPr>
          <w:jc w:val="center"/>
        </w:trPr>
        <w:tc>
          <w:tcPr>
            <w:tcW w:w="1204" w:type="dxa"/>
            <w:vAlign w:val="center"/>
          </w:tcPr>
          <w:p>
            <w:pPr>
              <w:spacing w:line="360" w:lineRule="exact"/>
              <w:ind w:right="113"/>
              <w:jc w:val="center"/>
              <w:rPr>
                <w:rFonts w:hint="eastAsia" w:ascii="宋体" w:hAnsi="宋体"/>
                <w:color w:val="auto"/>
                <w:sz w:val="24"/>
                <w:szCs w:val="24"/>
              </w:rPr>
            </w:pPr>
            <w:r>
              <w:rPr>
                <w:rFonts w:hint="eastAsia" w:ascii="宋体" w:hAnsi="宋体"/>
                <w:color w:val="auto"/>
                <w:sz w:val="24"/>
                <w:szCs w:val="24"/>
              </w:rPr>
              <w:t>条款号</w:t>
            </w:r>
          </w:p>
        </w:tc>
        <w:tc>
          <w:tcPr>
            <w:tcW w:w="1600" w:type="dxa"/>
            <w:vAlign w:val="center"/>
          </w:tcPr>
          <w:p>
            <w:pPr>
              <w:spacing w:line="360" w:lineRule="exact"/>
              <w:ind w:right="113"/>
              <w:jc w:val="center"/>
              <w:rPr>
                <w:rFonts w:hint="eastAsia" w:ascii="宋体" w:hAnsi="宋体"/>
                <w:color w:val="auto"/>
                <w:sz w:val="24"/>
                <w:szCs w:val="24"/>
              </w:rPr>
            </w:pPr>
            <w:r>
              <w:rPr>
                <w:rFonts w:hint="eastAsia" w:ascii="宋体" w:hAnsi="宋体"/>
                <w:color w:val="auto"/>
                <w:sz w:val="24"/>
                <w:szCs w:val="24"/>
              </w:rPr>
              <w:t>条款内容</w:t>
            </w:r>
          </w:p>
        </w:tc>
        <w:tc>
          <w:tcPr>
            <w:tcW w:w="6870" w:type="dxa"/>
            <w:vAlign w:val="center"/>
          </w:tcPr>
          <w:p>
            <w:pPr>
              <w:spacing w:line="360" w:lineRule="exact"/>
              <w:ind w:right="113"/>
              <w:jc w:val="center"/>
              <w:rPr>
                <w:rFonts w:hint="eastAsia" w:ascii="宋体" w:hAnsi="宋体"/>
                <w:color w:val="auto"/>
                <w:sz w:val="24"/>
                <w:szCs w:val="24"/>
              </w:rPr>
            </w:pPr>
            <w:r>
              <w:rPr>
                <w:rFonts w:hint="eastAsia" w:ascii="宋体" w:hAnsi="宋体"/>
                <w:color w:val="auto"/>
                <w:sz w:val="24"/>
                <w:szCs w:val="24"/>
              </w:rPr>
              <w:t>编 列 内 容</w:t>
            </w:r>
            <w:r>
              <w:rPr>
                <w:rFonts w:hint="eastAsia" w:ascii="宋体" w:hAnsi="宋体"/>
                <w:b/>
                <w:color w:val="auto"/>
                <w:sz w:val="24"/>
                <w:szCs w:val="24"/>
              </w:rPr>
              <w:t>（第二信封报价文件的评审）</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0" w:type="dxa"/>
            <w:bottom w:w="0" w:type="dxa"/>
            <w:right w:w="0" w:type="dxa"/>
          </w:tblCellMar>
        </w:tblPrEx>
        <w:trPr>
          <w:jc w:val="center"/>
        </w:trPr>
        <w:tc>
          <w:tcPr>
            <w:tcW w:w="1204" w:type="dxa"/>
            <w:vAlign w:val="center"/>
          </w:tcPr>
          <w:p>
            <w:pPr>
              <w:spacing w:line="360" w:lineRule="exact"/>
              <w:ind w:right="113"/>
              <w:jc w:val="center"/>
              <w:rPr>
                <w:rFonts w:hint="eastAsia" w:ascii="宋体" w:hAnsi="宋体"/>
                <w:color w:val="auto"/>
                <w:sz w:val="24"/>
                <w:szCs w:val="24"/>
              </w:rPr>
            </w:pPr>
            <w:r>
              <w:rPr>
                <w:rFonts w:hint="eastAsia" w:ascii="宋体" w:hAnsi="宋体"/>
                <w:color w:val="auto"/>
                <w:sz w:val="24"/>
                <w:szCs w:val="24"/>
              </w:rPr>
              <w:t>2.2.1</w:t>
            </w:r>
          </w:p>
        </w:tc>
        <w:tc>
          <w:tcPr>
            <w:tcW w:w="1600" w:type="dxa"/>
            <w:vAlign w:val="center"/>
          </w:tcPr>
          <w:p>
            <w:pPr>
              <w:spacing w:line="320" w:lineRule="exact"/>
              <w:ind w:right="113"/>
              <w:jc w:val="center"/>
              <w:rPr>
                <w:rFonts w:hint="eastAsia" w:ascii="宋体" w:hAnsi="宋体"/>
                <w:color w:val="auto"/>
                <w:sz w:val="24"/>
                <w:szCs w:val="24"/>
              </w:rPr>
            </w:pPr>
            <w:r>
              <w:rPr>
                <w:rFonts w:hint="eastAsia" w:ascii="宋体" w:hAnsi="宋体"/>
                <w:color w:val="auto"/>
                <w:sz w:val="24"/>
                <w:szCs w:val="24"/>
              </w:rPr>
              <w:t>分值构成</w:t>
            </w:r>
          </w:p>
          <w:p>
            <w:pPr>
              <w:spacing w:line="320" w:lineRule="exact"/>
              <w:ind w:right="113"/>
              <w:rPr>
                <w:rFonts w:hint="eastAsia" w:ascii="宋体" w:hAnsi="宋体"/>
                <w:color w:val="auto"/>
                <w:sz w:val="24"/>
                <w:szCs w:val="24"/>
              </w:rPr>
            </w:pPr>
            <w:r>
              <w:rPr>
                <w:rFonts w:hint="eastAsia" w:ascii="宋体" w:hAnsi="宋体"/>
                <w:color w:val="auto"/>
                <w:sz w:val="24"/>
                <w:szCs w:val="24"/>
              </w:rPr>
              <w:t>(总分100分)</w:t>
            </w:r>
          </w:p>
        </w:tc>
        <w:tc>
          <w:tcPr>
            <w:tcW w:w="6870" w:type="dxa"/>
            <w:vAlign w:val="center"/>
          </w:tcPr>
          <w:p>
            <w:pPr>
              <w:spacing w:line="320" w:lineRule="exact"/>
              <w:ind w:right="113" w:firstLine="120" w:firstLineChars="50"/>
              <w:rPr>
                <w:rFonts w:hint="eastAsia" w:ascii="宋体" w:hAnsi="宋体"/>
                <w:color w:val="auto"/>
                <w:sz w:val="24"/>
                <w:szCs w:val="24"/>
              </w:rPr>
            </w:pPr>
            <w:r>
              <w:rPr>
                <w:rFonts w:hint="eastAsia" w:ascii="宋体" w:hAnsi="宋体"/>
                <w:color w:val="auto"/>
                <w:sz w:val="24"/>
                <w:szCs w:val="24"/>
              </w:rPr>
              <w:t>评 标 价：95分</w:t>
            </w:r>
          </w:p>
          <w:p>
            <w:pPr>
              <w:spacing w:line="320" w:lineRule="exact"/>
              <w:ind w:right="113" w:firstLine="120" w:firstLineChars="50"/>
              <w:rPr>
                <w:rFonts w:hint="eastAsia" w:ascii="宋体" w:hAnsi="宋体"/>
                <w:color w:val="auto"/>
                <w:sz w:val="24"/>
                <w:szCs w:val="24"/>
              </w:rPr>
            </w:pPr>
            <w:r>
              <w:rPr>
                <w:rFonts w:hint="eastAsia" w:ascii="宋体" w:hAnsi="宋体"/>
                <w:color w:val="auto"/>
                <w:sz w:val="24"/>
                <w:szCs w:val="24"/>
              </w:rPr>
              <w:t>其他因素：5分</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0" w:type="dxa"/>
            <w:bottom w:w="0" w:type="dxa"/>
            <w:right w:w="0" w:type="dxa"/>
          </w:tblCellMar>
        </w:tblPrEx>
        <w:trPr>
          <w:jc w:val="center"/>
        </w:trPr>
        <w:tc>
          <w:tcPr>
            <w:tcW w:w="1204" w:type="dxa"/>
            <w:vAlign w:val="center"/>
          </w:tcPr>
          <w:p>
            <w:pPr>
              <w:spacing w:line="360" w:lineRule="exact"/>
              <w:ind w:right="113"/>
              <w:jc w:val="center"/>
              <w:rPr>
                <w:rFonts w:hint="eastAsia" w:ascii="宋体" w:hAnsi="宋体"/>
                <w:color w:val="auto"/>
                <w:sz w:val="24"/>
                <w:szCs w:val="24"/>
              </w:rPr>
            </w:pPr>
            <w:r>
              <w:rPr>
                <w:rFonts w:hint="eastAsia" w:ascii="宋体" w:hAnsi="宋体"/>
                <w:color w:val="auto"/>
                <w:sz w:val="24"/>
                <w:szCs w:val="24"/>
              </w:rPr>
              <w:t>2.2.2</w:t>
            </w:r>
          </w:p>
        </w:tc>
        <w:tc>
          <w:tcPr>
            <w:tcW w:w="1600" w:type="dxa"/>
            <w:vAlign w:val="center"/>
          </w:tcPr>
          <w:p>
            <w:pPr>
              <w:spacing w:line="320" w:lineRule="exact"/>
              <w:ind w:left="113" w:right="113"/>
              <w:rPr>
                <w:rFonts w:hint="eastAsia" w:ascii="宋体" w:hAnsi="宋体"/>
                <w:color w:val="auto"/>
                <w:sz w:val="24"/>
                <w:szCs w:val="24"/>
              </w:rPr>
            </w:pPr>
            <w:r>
              <w:rPr>
                <w:rFonts w:hint="eastAsia" w:ascii="宋体" w:hAnsi="宋体"/>
                <w:color w:val="auto"/>
                <w:sz w:val="24"/>
                <w:szCs w:val="24"/>
              </w:rPr>
              <w:t>评标基准价计算方法</w:t>
            </w:r>
          </w:p>
        </w:tc>
        <w:tc>
          <w:tcPr>
            <w:tcW w:w="6870" w:type="dxa"/>
            <w:vAlign w:val="center"/>
          </w:tcPr>
          <w:p>
            <w:pPr>
              <w:spacing w:line="300" w:lineRule="exact"/>
              <w:ind w:left="113" w:right="113"/>
              <w:rPr>
                <w:rFonts w:hint="eastAsia" w:ascii="宋体" w:hAnsi="宋体"/>
                <w:color w:val="auto"/>
                <w:sz w:val="24"/>
                <w:szCs w:val="24"/>
              </w:rPr>
            </w:pPr>
            <w:r>
              <w:rPr>
                <w:rFonts w:hint="eastAsia" w:ascii="宋体" w:hAnsi="宋体"/>
                <w:color w:val="auto"/>
                <w:sz w:val="24"/>
                <w:szCs w:val="24"/>
              </w:rPr>
              <w:t>评标基准价的计算：</w:t>
            </w:r>
          </w:p>
          <w:p>
            <w:pPr>
              <w:spacing w:line="300" w:lineRule="exact"/>
              <w:ind w:left="113" w:right="113"/>
              <w:rPr>
                <w:rFonts w:hint="eastAsia" w:ascii="宋体" w:hAnsi="宋体"/>
                <w:color w:val="auto"/>
                <w:sz w:val="24"/>
                <w:szCs w:val="24"/>
              </w:rPr>
            </w:pPr>
            <w:r>
              <w:rPr>
                <w:rFonts w:hint="eastAsia" w:ascii="宋体" w:hAnsi="宋体"/>
                <w:color w:val="auto"/>
                <w:sz w:val="24"/>
                <w:szCs w:val="24"/>
              </w:rPr>
              <w:t>（1）评标价的确定：</w:t>
            </w:r>
          </w:p>
          <w:p>
            <w:pPr>
              <w:spacing w:line="300" w:lineRule="exact"/>
              <w:ind w:left="113" w:right="113"/>
              <w:rPr>
                <w:rFonts w:hint="eastAsia" w:ascii="宋体" w:hAnsi="宋体"/>
                <w:color w:val="auto"/>
                <w:sz w:val="24"/>
                <w:szCs w:val="24"/>
              </w:rPr>
            </w:pPr>
            <w:r>
              <w:rPr>
                <w:rFonts w:hint="eastAsia" w:ascii="宋体" w:hAnsi="宋体"/>
                <w:color w:val="auto"/>
                <w:sz w:val="24"/>
                <w:szCs w:val="24"/>
              </w:rPr>
              <w:t>评标价＝投标函文字报价</w:t>
            </w:r>
          </w:p>
          <w:p>
            <w:pPr>
              <w:numPr>
                <w:ilvl w:val="0"/>
                <w:numId w:val="1"/>
              </w:numPr>
              <w:spacing w:line="300" w:lineRule="exact"/>
              <w:ind w:left="113" w:right="113"/>
              <w:rPr>
                <w:rFonts w:hint="eastAsia" w:ascii="宋体" w:hAnsi="宋体"/>
                <w:color w:val="auto"/>
                <w:sz w:val="24"/>
                <w:szCs w:val="24"/>
              </w:rPr>
            </w:pPr>
            <w:r>
              <w:rPr>
                <w:rFonts w:hint="eastAsia" w:ascii="宋体" w:hAnsi="宋体"/>
                <w:color w:val="auto"/>
                <w:sz w:val="24"/>
                <w:szCs w:val="24"/>
              </w:rPr>
              <w:t>招标人最高投标限价的确定</w:t>
            </w:r>
          </w:p>
          <w:p>
            <w:pPr>
              <w:spacing w:line="300" w:lineRule="exact"/>
              <w:ind w:right="113"/>
              <w:rPr>
                <w:rFonts w:hint="eastAsia" w:ascii="宋体" w:hAnsi="宋体"/>
                <w:color w:val="auto"/>
                <w:sz w:val="24"/>
                <w:szCs w:val="24"/>
                <w:highlight w:val="yellow"/>
              </w:rPr>
            </w:pPr>
            <w:r>
              <w:rPr>
                <w:rFonts w:hint="eastAsia" w:ascii="宋体" w:hAnsi="宋体"/>
                <w:color w:val="auto"/>
                <w:sz w:val="24"/>
                <w:szCs w:val="24"/>
              </w:rPr>
              <w:t xml:space="preserve">     下浮率在开标当日，在开标现场在各投标单位代表、业主代表、招标代理单位代表、公共资源</w:t>
            </w:r>
            <w:r>
              <w:rPr>
                <w:rFonts w:hint="eastAsia" w:ascii="宋体" w:hAnsi="宋体"/>
                <w:color w:val="auto"/>
                <w:sz w:val="24"/>
                <w:szCs w:val="24"/>
                <w:lang w:eastAsia="zh-CN"/>
              </w:rPr>
              <w:t>交易</w:t>
            </w:r>
            <w:r>
              <w:rPr>
                <w:rFonts w:hint="eastAsia" w:ascii="宋体" w:hAnsi="宋体"/>
                <w:color w:val="auto"/>
                <w:sz w:val="24"/>
                <w:szCs w:val="24"/>
              </w:rPr>
              <w:t>中心代表、监督单位代表在开标前共同见证下采取逐标段摇珠方式确定。下浮有效范围为0.0%至2.0%。</w:t>
            </w:r>
          </w:p>
          <w:p>
            <w:pPr>
              <w:spacing w:line="300" w:lineRule="exact"/>
              <w:ind w:left="113" w:leftChars="54" w:right="113" w:firstLine="480" w:firstLineChars="200"/>
              <w:rPr>
                <w:rFonts w:hint="eastAsia" w:ascii="宋体" w:hAnsi="宋体"/>
                <w:color w:val="auto"/>
                <w:sz w:val="24"/>
                <w:szCs w:val="24"/>
              </w:rPr>
            </w:pPr>
            <w:r>
              <w:rPr>
                <w:rFonts w:hint="eastAsia" w:ascii="宋体" w:hAnsi="宋体"/>
                <w:color w:val="auto"/>
                <w:sz w:val="24"/>
                <w:szCs w:val="24"/>
              </w:rPr>
              <w:t>摇珠操作办法如下：</w:t>
            </w:r>
          </w:p>
          <w:p>
            <w:pPr>
              <w:spacing w:line="300" w:lineRule="exact"/>
              <w:ind w:left="113" w:leftChars="54" w:right="113" w:firstLine="480" w:firstLineChars="200"/>
              <w:rPr>
                <w:rFonts w:hint="eastAsia" w:ascii="宋体" w:hAnsi="宋体"/>
                <w:color w:val="auto"/>
                <w:sz w:val="24"/>
                <w:szCs w:val="24"/>
              </w:rPr>
            </w:pPr>
            <w:r>
              <w:rPr>
                <w:rFonts w:hint="eastAsia" w:ascii="宋体" w:hAnsi="宋体"/>
                <w:color w:val="auto"/>
                <w:sz w:val="24"/>
                <w:szCs w:val="24"/>
              </w:rPr>
              <w:t>在下浮率区间差值不小于2个百分点的摇珠范围内，以0.1%为一档次增序确定摇珠号码，不少于 21 个球，一次性摇取1个球，摇出球对应的下浮率即为本标段招标的下浮率。（注：下浮率摇珠区间差值在0.0%至2.0%(含本数)）</w:t>
            </w:r>
          </w:p>
          <w:p>
            <w:pPr>
              <w:spacing w:line="300" w:lineRule="exact"/>
              <w:ind w:right="113" w:firstLine="120" w:firstLineChars="50"/>
              <w:rPr>
                <w:rFonts w:hint="eastAsia" w:ascii="宋体" w:hAnsi="宋体"/>
                <w:b/>
                <w:color w:val="auto"/>
                <w:sz w:val="24"/>
                <w:szCs w:val="24"/>
              </w:rPr>
            </w:pPr>
            <w:r>
              <w:rPr>
                <w:rFonts w:hint="eastAsia" w:ascii="宋体" w:hAnsi="宋体"/>
                <w:b/>
                <w:color w:val="auto"/>
                <w:sz w:val="24"/>
                <w:szCs w:val="24"/>
              </w:rPr>
              <w:t>招标人最高投标限价＝招标人控制价×（1-下浮率）</w:t>
            </w:r>
          </w:p>
          <w:p>
            <w:pPr>
              <w:spacing w:line="300" w:lineRule="exact"/>
              <w:ind w:right="113" w:firstLine="120" w:firstLineChars="50"/>
              <w:rPr>
                <w:rFonts w:hint="eastAsia" w:ascii="宋体" w:hAnsi="宋体"/>
                <w:color w:val="auto"/>
                <w:sz w:val="24"/>
                <w:szCs w:val="24"/>
              </w:rPr>
            </w:pPr>
            <w:r>
              <w:rPr>
                <w:rFonts w:hint="eastAsia" w:ascii="宋体" w:hAnsi="宋体"/>
                <w:color w:val="auto"/>
                <w:sz w:val="24"/>
                <w:szCs w:val="24"/>
              </w:rPr>
              <w:t xml:space="preserve">（3）有效评标价范围：  </w:t>
            </w:r>
          </w:p>
          <w:p>
            <w:pPr>
              <w:spacing w:line="300" w:lineRule="exact"/>
              <w:ind w:right="113" w:firstLine="120" w:firstLineChars="50"/>
              <w:rPr>
                <w:rFonts w:hint="eastAsia" w:ascii="宋体" w:hAnsi="宋体"/>
                <w:color w:val="auto"/>
                <w:sz w:val="24"/>
                <w:szCs w:val="24"/>
              </w:rPr>
            </w:pPr>
            <w:r>
              <w:rPr>
                <w:rFonts w:hint="eastAsia" w:ascii="宋体" w:hAnsi="宋体"/>
                <w:color w:val="auto"/>
                <w:sz w:val="24"/>
                <w:szCs w:val="24"/>
              </w:rPr>
              <w:t>有效评标价范围为：不大于招标人最高投标限价的评标价为有效评标价。大于招标人最高投标限价的评标价，将否决其投标。</w:t>
            </w:r>
          </w:p>
          <w:p>
            <w:pPr>
              <w:spacing w:line="300" w:lineRule="exact"/>
              <w:ind w:right="113" w:firstLine="120" w:firstLineChars="50"/>
              <w:rPr>
                <w:rFonts w:hint="eastAsia" w:ascii="宋体" w:hAnsi="宋体"/>
                <w:color w:val="auto"/>
                <w:sz w:val="24"/>
                <w:szCs w:val="24"/>
              </w:rPr>
            </w:pPr>
            <w:r>
              <w:rPr>
                <w:rFonts w:hint="eastAsia" w:ascii="宋体" w:hAnsi="宋体"/>
                <w:color w:val="auto"/>
                <w:sz w:val="24"/>
                <w:szCs w:val="24"/>
              </w:rPr>
              <w:t>（4）确定参与评标基准价计算的评标价平均值计算：</w:t>
            </w:r>
          </w:p>
          <w:p>
            <w:pPr>
              <w:spacing w:line="300" w:lineRule="exact"/>
              <w:ind w:right="113" w:firstLine="120" w:firstLineChars="50"/>
              <w:rPr>
                <w:rFonts w:hint="eastAsia" w:ascii="宋体" w:hAnsi="宋体"/>
                <w:color w:val="auto"/>
                <w:sz w:val="24"/>
                <w:szCs w:val="24"/>
              </w:rPr>
            </w:pPr>
            <w:r>
              <w:rPr>
                <w:rFonts w:hint="eastAsia" w:ascii="宋体" w:hAnsi="宋体"/>
                <w:color w:val="auto"/>
                <w:sz w:val="24"/>
                <w:szCs w:val="24"/>
              </w:rPr>
              <w:t xml:space="preserve">①参与评标基准价计算的评标价的范围：招标人最高投标限价的 85%≤参与评标基准价计算的评标价≤招标人最高投标限价的 100% ，小于招标人最高投标限价的 85%的评标价不参与评标基准价的计算，但仍参与评标价的得分计算。 </w:t>
            </w:r>
          </w:p>
          <w:p>
            <w:pPr>
              <w:spacing w:line="300" w:lineRule="exact"/>
              <w:ind w:right="113" w:firstLine="120" w:firstLineChars="50"/>
              <w:rPr>
                <w:rFonts w:hint="eastAsia" w:ascii="宋体" w:hAnsi="宋体"/>
                <w:color w:val="auto"/>
                <w:sz w:val="24"/>
                <w:szCs w:val="24"/>
              </w:rPr>
            </w:pPr>
            <w:r>
              <w:rPr>
                <w:rFonts w:hint="eastAsia" w:ascii="宋体" w:hAnsi="宋体"/>
                <w:color w:val="auto"/>
                <w:sz w:val="24"/>
                <w:szCs w:val="24"/>
              </w:rPr>
              <w:t>②参与评标基准价的评标价平均值计算：除按第二章“投标人须知”第 5.2.2 项规定开标现场被宣布否决其投标的投标报价之外，在上述确定的参与评标基准价计算的评标价中去掉一个最高值和一个最低值后的算术平均值即为参与评标基准价计算的有效评标价平均值(如果参与评标价平均值计算的有效投标人少于 5 家时，则计算上述平均值时不去掉最高值和最低值)；</w:t>
            </w:r>
          </w:p>
          <w:p>
            <w:pPr>
              <w:spacing w:line="300" w:lineRule="exact"/>
              <w:ind w:right="113" w:firstLine="120" w:firstLineChars="50"/>
              <w:rPr>
                <w:rFonts w:hint="eastAsia" w:ascii="宋体" w:hAnsi="宋体"/>
                <w:color w:val="auto"/>
                <w:sz w:val="24"/>
                <w:szCs w:val="24"/>
              </w:rPr>
            </w:pPr>
            <w:r>
              <w:rPr>
                <w:rFonts w:hint="eastAsia" w:ascii="宋体" w:hAnsi="宋体"/>
                <w:color w:val="auto"/>
                <w:sz w:val="24"/>
                <w:szCs w:val="24"/>
              </w:rPr>
              <w:t>若投标人的评标价均小于招标人最高投标限价的 85%时，则以招标人最高投标限价的 85%为评标基准价 ，同时应对投标报价小于 85％的启动澄清程序，要求投标人作出书面说明并提供相关证明材料。投标人不能合理说明或者不能提供相关证明资料的，评标委员会认定该投标人以低于成本报价竞标，否决其投标。当所有投标人的投标因此种情况被否决；或当因此种情况被否决部分投标人后，有效投标人不足三家，评标委员会认为竞争不足的情况出现时，评标委员会可以否决全部投标。未否决全部投标的，评标委员会应当在评标报告中阐明理由并推荐中标候选人。</w:t>
            </w:r>
          </w:p>
          <w:p>
            <w:pPr>
              <w:spacing w:line="300" w:lineRule="exact"/>
              <w:ind w:right="113" w:firstLine="600" w:firstLineChars="250"/>
              <w:rPr>
                <w:rFonts w:hint="eastAsia" w:ascii="宋体" w:hAnsi="宋体"/>
                <w:color w:val="auto"/>
                <w:sz w:val="24"/>
                <w:szCs w:val="24"/>
              </w:rPr>
            </w:pPr>
            <w:r>
              <w:rPr>
                <w:rFonts w:hint="eastAsia" w:ascii="宋体" w:hAnsi="宋体"/>
                <w:color w:val="auto"/>
                <w:sz w:val="24"/>
                <w:szCs w:val="24"/>
              </w:rPr>
              <w:t>即使某投标文件在第二信封评审时未通过形式评审与响应性评审，如其报价处于参与评标基准价计算的评标价的有效范围内，其评标价仍应参与有效评标价平均值的计算。</w:t>
            </w:r>
          </w:p>
          <w:p>
            <w:pPr>
              <w:spacing w:line="300" w:lineRule="exact"/>
              <w:ind w:right="113" w:firstLine="120" w:firstLineChars="50"/>
              <w:rPr>
                <w:rFonts w:hint="eastAsia" w:ascii="宋体" w:hAnsi="宋体"/>
                <w:color w:val="auto"/>
                <w:sz w:val="24"/>
                <w:szCs w:val="24"/>
              </w:rPr>
            </w:pPr>
            <w:r>
              <w:rPr>
                <w:rFonts w:hint="eastAsia" w:ascii="宋体" w:hAnsi="宋体"/>
                <w:color w:val="auto"/>
                <w:sz w:val="24"/>
                <w:szCs w:val="24"/>
              </w:rPr>
              <w:t>（5）评标基准价的确定：</w:t>
            </w:r>
          </w:p>
          <w:p>
            <w:pPr>
              <w:spacing w:line="300" w:lineRule="exact"/>
              <w:ind w:left="113" w:leftChars="54" w:right="113" w:firstLine="480" w:firstLineChars="200"/>
              <w:rPr>
                <w:rFonts w:hint="eastAsia" w:ascii="宋体" w:hAnsi="宋体"/>
                <w:color w:val="auto"/>
                <w:sz w:val="24"/>
                <w:szCs w:val="24"/>
              </w:rPr>
            </w:pPr>
            <w:r>
              <w:rPr>
                <w:rFonts w:hint="eastAsia" w:ascii="宋体" w:hAnsi="宋体"/>
                <w:color w:val="auto"/>
                <w:sz w:val="24"/>
                <w:szCs w:val="24"/>
              </w:rPr>
              <w:t>招标人最高投标限价下浮一定比例（K），作为。K值范围可取在1.0～3.0%区间内（含本数）。K值由招标人以密封方式，在(第二信封)开标时公布。</w:t>
            </w:r>
          </w:p>
          <w:p>
            <w:pPr>
              <w:spacing w:line="300" w:lineRule="exact"/>
              <w:ind w:left="113" w:leftChars="54" w:right="113" w:firstLine="482" w:firstLineChars="200"/>
              <w:rPr>
                <w:rFonts w:hint="eastAsia" w:ascii="宋体" w:hAnsi="宋体"/>
                <w:b/>
                <w:color w:val="auto"/>
                <w:sz w:val="24"/>
                <w:szCs w:val="24"/>
              </w:rPr>
            </w:pPr>
            <w:r>
              <w:rPr>
                <w:rFonts w:hint="eastAsia" w:ascii="宋体" w:hAnsi="宋体"/>
                <w:b/>
                <w:color w:val="auto"/>
                <w:sz w:val="24"/>
                <w:szCs w:val="24"/>
              </w:rPr>
              <w:t>评标基准价＝招标人最高投标限价×（1-下浮率K值）</w:t>
            </w:r>
          </w:p>
          <w:p>
            <w:pPr>
              <w:spacing w:line="300" w:lineRule="exact"/>
              <w:ind w:right="113"/>
              <w:rPr>
                <w:rFonts w:hint="eastAsia" w:ascii="宋体" w:hAnsi="宋体"/>
                <w:color w:val="auto"/>
                <w:sz w:val="24"/>
                <w:szCs w:val="24"/>
              </w:rPr>
            </w:pPr>
            <w:r>
              <w:rPr>
                <w:rFonts w:hint="eastAsia" w:ascii="宋体" w:hAnsi="宋体"/>
                <w:color w:val="auto"/>
                <w:sz w:val="24"/>
                <w:szCs w:val="24"/>
              </w:rPr>
              <w:t>备注:</w:t>
            </w:r>
            <w:r>
              <w:rPr>
                <w:rFonts w:hint="eastAsia"/>
                <w:color w:val="auto"/>
                <w:sz w:val="24"/>
                <w:szCs w:val="24"/>
              </w:rPr>
              <w:t xml:space="preserve"> </w:t>
            </w:r>
            <w:r>
              <w:rPr>
                <w:rFonts w:hint="eastAsia" w:ascii="宋体" w:hAnsi="宋体"/>
                <w:color w:val="auto"/>
                <w:sz w:val="24"/>
                <w:szCs w:val="24"/>
              </w:rPr>
              <w:t>评标基准价四舍五入至个位整数元。</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0" w:type="dxa"/>
            <w:bottom w:w="0" w:type="dxa"/>
            <w:right w:w="0" w:type="dxa"/>
          </w:tblCellMar>
        </w:tblPrEx>
        <w:trPr>
          <w:jc w:val="center"/>
        </w:trPr>
        <w:tc>
          <w:tcPr>
            <w:tcW w:w="1204" w:type="dxa"/>
            <w:vAlign w:val="center"/>
          </w:tcPr>
          <w:p>
            <w:pPr>
              <w:spacing w:line="360" w:lineRule="exact"/>
              <w:ind w:right="113"/>
              <w:jc w:val="center"/>
              <w:rPr>
                <w:rFonts w:hint="eastAsia" w:ascii="宋体" w:hAnsi="宋体"/>
                <w:color w:val="auto"/>
                <w:sz w:val="24"/>
                <w:szCs w:val="24"/>
              </w:rPr>
            </w:pPr>
            <w:r>
              <w:rPr>
                <w:rFonts w:hint="eastAsia" w:ascii="宋体" w:hAnsi="宋体"/>
                <w:color w:val="auto"/>
                <w:sz w:val="24"/>
                <w:szCs w:val="24"/>
              </w:rPr>
              <w:t>2.2.3</w:t>
            </w:r>
          </w:p>
        </w:tc>
        <w:tc>
          <w:tcPr>
            <w:tcW w:w="1600" w:type="dxa"/>
            <w:vAlign w:val="center"/>
          </w:tcPr>
          <w:p>
            <w:pPr>
              <w:spacing w:line="240" w:lineRule="exact"/>
              <w:ind w:right="113"/>
              <w:rPr>
                <w:rFonts w:hint="eastAsia" w:ascii="宋体" w:hAnsi="宋体"/>
                <w:color w:val="auto"/>
                <w:sz w:val="24"/>
                <w:szCs w:val="24"/>
              </w:rPr>
            </w:pPr>
            <w:r>
              <w:rPr>
                <w:rFonts w:hint="eastAsia" w:ascii="宋体" w:hAnsi="宋体"/>
                <w:color w:val="auto"/>
                <w:sz w:val="24"/>
                <w:szCs w:val="24"/>
              </w:rPr>
              <w:t>评标价的偏差率计算公式</w:t>
            </w:r>
          </w:p>
        </w:tc>
        <w:tc>
          <w:tcPr>
            <w:tcW w:w="6870" w:type="dxa"/>
            <w:vAlign w:val="center"/>
          </w:tcPr>
          <w:p>
            <w:pPr>
              <w:spacing w:line="300" w:lineRule="exact"/>
              <w:ind w:left="113" w:right="113"/>
              <w:rPr>
                <w:rFonts w:hint="eastAsia" w:ascii="宋体" w:hAnsi="宋体"/>
                <w:color w:val="auto"/>
                <w:sz w:val="24"/>
                <w:szCs w:val="24"/>
              </w:rPr>
            </w:pPr>
            <w:r>
              <w:rPr>
                <w:rFonts w:hint="eastAsia" w:ascii="宋体" w:hAnsi="宋体"/>
                <w:color w:val="auto"/>
                <w:sz w:val="24"/>
                <w:szCs w:val="24"/>
              </w:rPr>
              <w:t>偏差率=100%×（投标人评标价-评标基准价）/评标基准价</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0" w:type="dxa"/>
            <w:bottom w:w="0" w:type="dxa"/>
            <w:right w:w="0" w:type="dxa"/>
          </w:tblCellMar>
        </w:tblPrEx>
        <w:trPr>
          <w:jc w:val="center"/>
        </w:trPr>
        <w:tc>
          <w:tcPr>
            <w:tcW w:w="1204" w:type="dxa"/>
            <w:vAlign w:val="center"/>
          </w:tcPr>
          <w:p>
            <w:pPr>
              <w:spacing w:line="360" w:lineRule="exact"/>
              <w:ind w:right="113"/>
              <w:jc w:val="center"/>
              <w:rPr>
                <w:rFonts w:hint="eastAsia" w:ascii="宋体" w:hAnsi="宋体"/>
                <w:color w:val="auto"/>
                <w:sz w:val="24"/>
                <w:szCs w:val="24"/>
              </w:rPr>
            </w:pPr>
            <w:r>
              <w:rPr>
                <w:rFonts w:hint="eastAsia" w:ascii="宋体" w:hAnsi="宋体"/>
                <w:color w:val="auto"/>
                <w:sz w:val="24"/>
                <w:szCs w:val="24"/>
              </w:rPr>
              <w:t>2.2.4（1）</w:t>
            </w:r>
          </w:p>
        </w:tc>
        <w:tc>
          <w:tcPr>
            <w:tcW w:w="1600" w:type="dxa"/>
            <w:vAlign w:val="center"/>
          </w:tcPr>
          <w:p>
            <w:pPr>
              <w:spacing w:line="240" w:lineRule="exact"/>
              <w:ind w:right="113"/>
              <w:jc w:val="center"/>
              <w:rPr>
                <w:rFonts w:hint="eastAsia" w:ascii="宋体" w:hAnsi="宋体"/>
                <w:color w:val="auto"/>
                <w:sz w:val="24"/>
                <w:szCs w:val="24"/>
              </w:rPr>
            </w:pPr>
            <w:r>
              <w:rPr>
                <w:rFonts w:hint="eastAsia" w:ascii="宋体" w:hAnsi="宋体"/>
                <w:color w:val="auto"/>
                <w:sz w:val="24"/>
                <w:szCs w:val="24"/>
              </w:rPr>
              <w:t>施工组织设计</w:t>
            </w:r>
          </w:p>
        </w:tc>
        <w:tc>
          <w:tcPr>
            <w:tcW w:w="6870" w:type="dxa"/>
            <w:vAlign w:val="center"/>
          </w:tcPr>
          <w:p>
            <w:pPr>
              <w:spacing w:line="300" w:lineRule="exact"/>
              <w:ind w:left="113" w:right="113" w:firstLine="240" w:firstLineChars="100"/>
              <w:rPr>
                <w:rFonts w:hint="eastAsia" w:ascii="宋体" w:hAnsi="宋体"/>
                <w:color w:val="auto"/>
                <w:sz w:val="24"/>
                <w:szCs w:val="24"/>
              </w:rPr>
            </w:pPr>
            <w:r>
              <w:rPr>
                <w:rFonts w:hint="eastAsia" w:ascii="宋体" w:hAnsi="宋体"/>
                <w:color w:val="auto"/>
                <w:sz w:val="24"/>
                <w:szCs w:val="24"/>
              </w:rPr>
              <w:t>0分</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0" w:type="dxa"/>
            <w:bottom w:w="0" w:type="dxa"/>
            <w:right w:w="0" w:type="dxa"/>
          </w:tblCellMar>
        </w:tblPrEx>
        <w:trPr>
          <w:jc w:val="center"/>
        </w:trPr>
        <w:tc>
          <w:tcPr>
            <w:tcW w:w="1204" w:type="dxa"/>
            <w:vAlign w:val="center"/>
          </w:tcPr>
          <w:p>
            <w:pPr>
              <w:spacing w:line="360" w:lineRule="exact"/>
              <w:ind w:right="113"/>
              <w:jc w:val="center"/>
              <w:rPr>
                <w:rFonts w:hint="eastAsia" w:ascii="宋体" w:hAnsi="宋体"/>
                <w:color w:val="auto"/>
                <w:sz w:val="24"/>
                <w:szCs w:val="24"/>
              </w:rPr>
            </w:pPr>
            <w:r>
              <w:rPr>
                <w:rFonts w:hint="eastAsia" w:ascii="宋体" w:hAnsi="宋体"/>
                <w:color w:val="auto"/>
                <w:sz w:val="24"/>
                <w:szCs w:val="24"/>
              </w:rPr>
              <w:t>2.2.4（2）</w:t>
            </w:r>
          </w:p>
        </w:tc>
        <w:tc>
          <w:tcPr>
            <w:tcW w:w="1600" w:type="dxa"/>
            <w:vAlign w:val="center"/>
          </w:tcPr>
          <w:p>
            <w:pPr>
              <w:spacing w:line="240" w:lineRule="exact"/>
              <w:ind w:right="113"/>
              <w:jc w:val="center"/>
              <w:rPr>
                <w:rFonts w:hint="eastAsia" w:ascii="宋体" w:hAnsi="宋体"/>
                <w:color w:val="auto"/>
                <w:sz w:val="24"/>
                <w:szCs w:val="24"/>
              </w:rPr>
            </w:pPr>
            <w:r>
              <w:rPr>
                <w:rFonts w:hint="eastAsia" w:ascii="宋体" w:hAnsi="宋体"/>
                <w:color w:val="auto"/>
                <w:sz w:val="24"/>
                <w:szCs w:val="24"/>
              </w:rPr>
              <w:t>项目管理机构</w:t>
            </w:r>
          </w:p>
        </w:tc>
        <w:tc>
          <w:tcPr>
            <w:tcW w:w="6870" w:type="dxa"/>
            <w:vAlign w:val="center"/>
          </w:tcPr>
          <w:p>
            <w:pPr>
              <w:spacing w:line="300" w:lineRule="exact"/>
              <w:ind w:left="113" w:right="113" w:firstLine="240" w:firstLineChars="100"/>
              <w:rPr>
                <w:rFonts w:hint="eastAsia" w:ascii="宋体" w:hAnsi="宋体"/>
                <w:color w:val="auto"/>
                <w:sz w:val="24"/>
                <w:szCs w:val="24"/>
              </w:rPr>
            </w:pPr>
            <w:r>
              <w:rPr>
                <w:rFonts w:hint="eastAsia" w:ascii="宋体" w:hAnsi="宋体"/>
                <w:color w:val="auto"/>
                <w:sz w:val="24"/>
                <w:szCs w:val="24"/>
              </w:rPr>
              <w:t>0分</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0" w:type="dxa"/>
            <w:bottom w:w="0" w:type="dxa"/>
            <w:right w:w="0" w:type="dxa"/>
          </w:tblCellMar>
        </w:tblPrEx>
        <w:trPr>
          <w:jc w:val="center"/>
        </w:trPr>
        <w:tc>
          <w:tcPr>
            <w:tcW w:w="1204" w:type="dxa"/>
            <w:vAlign w:val="center"/>
          </w:tcPr>
          <w:p>
            <w:pPr>
              <w:spacing w:line="360" w:lineRule="exact"/>
              <w:ind w:right="113"/>
              <w:jc w:val="center"/>
              <w:rPr>
                <w:rFonts w:hint="eastAsia" w:ascii="宋体" w:hAnsi="宋体"/>
                <w:color w:val="auto"/>
                <w:sz w:val="24"/>
                <w:szCs w:val="24"/>
              </w:rPr>
            </w:pPr>
            <w:r>
              <w:rPr>
                <w:rFonts w:hint="eastAsia" w:ascii="宋体" w:hAnsi="宋体"/>
                <w:color w:val="auto"/>
                <w:sz w:val="24"/>
                <w:szCs w:val="24"/>
              </w:rPr>
              <w:t>2.2.4（3）</w:t>
            </w:r>
          </w:p>
        </w:tc>
        <w:tc>
          <w:tcPr>
            <w:tcW w:w="1600" w:type="dxa"/>
            <w:vAlign w:val="center"/>
          </w:tcPr>
          <w:p>
            <w:pPr>
              <w:spacing w:line="320" w:lineRule="exact"/>
              <w:ind w:left="113" w:right="113"/>
              <w:jc w:val="center"/>
              <w:rPr>
                <w:rFonts w:hint="eastAsia" w:ascii="宋体" w:hAnsi="宋体"/>
                <w:color w:val="auto"/>
                <w:sz w:val="24"/>
                <w:szCs w:val="24"/>
              </w:rPr>
            </w:pPr>
            <w:r>
              <w:rPr>
                <w:rFonts w:hint="eastAsia" w:ascii="宋体" w:hAnsi="宋体"/>
                <w:color w:val="auto"/>
                <w:sz w:val="24"/>
                <w:szCs w:val="24"/>
              </w:rPr>
              <w:t>评标价</w:t>
            </w:r>
          </w:p>
          <w:p>
            <w:pPr>
              <w:spacing w:line="320" w:lineRule="exact"/>
              <w:ind w:left="113" w:right="113"/>
              <w:jc w:val="center"/>
              <w:rPr>
                <w:rFonts w:hint="eastAsia" w:ascii="宋体" w:hAnsi="宋体"/>
                <w:color w:val="auto"/>
                <w:sz w:val="24"/>
                <w:szCs w:val="24"/>
              </w:rPr>
            </w:pPr>
            <w:r>
              <w:rPr>
                <w:rFonts w:hint="eastAsia" w:ascii="宋体" w:hAnsi="宋体"/>
                <w:color w:val="auto"/>
                <w:sz w:val="24"/>
                <w:szCs w:val="24"/>
              </w:rPr>
              <w:t>(95分)</w:t>
            </w:r>
          </w:p>
        </w:tc>
        <w:tc>
          <w:tcPr>
            <w:tcW w:w="6870" w:type="dxa"/>
            <w:vAlign w:val="center"/>
          </w:tcPr>
          <w:p>
            <w:pPr>
              <w:spacing w:line="300" w:lineRule="exact"/>
              <w:ind w:left="113" w:right="113" w:firstLine="240" w:firstLineChars="100"/>
              <w:rPr>
                <w:rFonts w:hint="eastAsia" w:ascii="宋体" w:hAnsi="宋体"/>
                <w:color w:val="auto"/>
                <w:sz w:val="24"/>
                <w:szCs w:val="24"/>
              </w:rPr>
            </w:pPr>
            <w:r>
              <w:rPr>
                <w:rFonts w:hint="eastAsia" w:ascii="宋体" w:hAnsi="宋体"/>
                <w:color w:val="auto"/>
                <w:sz w:val="24"/>
                <w:szCs w:val="24"/>
              </w:rPr>
              <w:t>95分</w:t>
            </w:r>
          </w:p>
          <w:p>
            <w:pPr>
              <w:spacing w:line="300" w:lineRule="exact"/>
              <w:ind w:left="113" w:right="113" w:firstLine="240" w:firstLineChars="100"/>
              <w:rPr>
                <w:rFonts w:hint="eastAsia" w:ascii="宋体" w:hAnsi="宋体"/>
                <w:color w:val="auto"/>
                <w:sz w:val="24"/>
                <w:szCs w:val="24"/>
              </w:rPr>
            </w:pPr>
            <w:r>
              <w:rPr>
                <w:rFonts w:hint="eastAsia" w:ascii="宋体" w:hAnsi="宋体"/>
                <w:color w:val="auto"/>
                <w:sz w:val="24"/>
                <w:szCs w:val="24"/>
              </w:rPr>
              <w:t>评标价得分计算公式示例：</w:t>
            </w:r>
          </w:p>
          <w:p>
            <w:pPr>
              <w:spacing w:line="300" w:lineRule="exact"/>
              <w:ind w:left="113" w:right="113" w:firstLine="240" w:firstLineChars="100"/>
              <w:rPr>
                <w:rFonts w:hint="eastAsia" w:ascii="宋体" w:hAnsi="宋体"/>
                <w:color w:val="auto"/>
                <w:sz w:val="24"/>
                <w:szCs w:val="24"/>
              </w:rPr>
            </w:pPr>
            <w:r>
              <w:rPr>
                <w:rFonts w:hint="eastAsia" w:ascii="宋体" w:hAnsi="宋体"/>
                <w:color w:val="auto"/>
                <w:sz w:val="24"/>
                <w:szCs w:val="24"/>
              </w:rPr>
              <w:t>（1）如果投标人的评标价＞评标基准价，则评标价得分=95-偏差率×100×3；</w:t>
            </w:r>
          </w:p>
          <w:p>
            <w:pPr>
              <w:spacing w:line="300" w:lineRule="exact"/>
              <w:ind w:left="113" w:right="113" w:firstLine="240" w:firstLineChars="100"/>
              <w:rPr>
                <w:rFonts w:hint="eastAsia" w:ascii="宋体" w:hAnsi="宋体"/>
                <w:color w:val="auto"/>
                <w:sz w:val="24"/>
                <w:szCs w:val="24"/>
              </w:rPr>
            </w:pPr>
            <w:r>
              <w:rPr>
                <w:rFonts w:hint="eastAsia" w:ascii="宋体" w:hAnsi="宋体"/>
                <w:color w:val="auto"/>
                <w:sz w:val="24"/>
                <w:szCs w:val="24"/>
              </w:rPr>
              <w:t>（2）如果投标人的评标价≤评标基准价，则评标价得分=95+偏差率×100×1；</w:t>
            </w:r>
          </w:p>
          <w:p>
            <w:pPr>
              <w:spacing w:line="300" w:lineRule="exact"/>
              <w:ind w:left="113" w:right="113" w:firstLine="240" w:firstLineChars="100"/>
              <w:rPr>
                <w:rFonts w:hint="eastAsia" w:ascii="宋体" w:hAnsi="宋体"/>
                <w:color w:val="auto"/>
                <w:sz w:val="24"/>
                <w:szCs w:val="24"/>
              </w:rPr>
            </w:pPr>
            <w:r>
              <w:rPr>
                <w:rFonts w:hint="eastAsia" w:ascii="宋体" w:hAnsi="宋体"/>
                <w:color w:val="auto"/>
                <w:sz w:val="24"/>
                <w:szCs w:val="24"/>
              </w:rPr>
              <w:t>注：评标价得分四舍五入至小数点后四位。</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0" w:type="dxa"/>
            <w:bottom w:w="0" w:type="dxa"/>
            <w:right w:w="0" w:type="dxa"/>
          </w:tblCellMar>
        </w:tblPrEx>
        <w:trPr>
          <w:trHeight w:val="459" w:hRule="atLeast"/>
          <w:jc w:val="center"/>
        </w:trPr>
        <w:tc>
          <w:tcPr>
            <w:tcW w:w="1204" w:type="dxa"/>
            <w:vAlign w:val="center"/>
          </w:tcPr>
          <w:p>
            <w:pPr>
              <w:spacing w:line="360" w:lineRule="exact"/>
              <w:ind w:right="113"/>
              <w:jc w:val="center"/>
              <w:rPr>
                <w:rFonts w:hint="eastAsia" w:ascii="宋体" w:hAnsi="宋体"/>
                <w:color w:val="auto"/>
                <w:sz w:val="24"/>
                <w:szCs w:val="24"/>
              </w:rPr>
            </w:pPr>
            <w:r>
              <w:rPr>
                <w:rFonts w:hint="eastAsia" w:ascii="宋体" w:hAnsi="宋体"/>
                <w:color w:val="auto"/>
                <w:sz w:val="24"/>
                <w:szCs w:val="24"/>
              </w:rPr>
              <w:t>2.2.4（4）</w:t>
            </w:r>
          </w:p>
        </w:tc>
        <w:tc>
          <w:tcPr>
            <w:tcW w:w="1600" w:type="dxa"/>
            <w:vAlign w:val="center"/>
          </w:tcPr>
          <w:p>
            <w:pPr>
              <w:spacing w:line="320" w:lineRule="exact"/>
              <w:ind w:left="113" w:leftChars="54" w:right="113"/>
              <w:jc w:val="center"/>
              <w:rPr>
                <w:rFonts w:hint="eastAsia" w:ascii="宋体" w:hAnsi="宋体"/>
                <w:color w:val="auto"/>
                <w:sz w:val="24"/>
                <w:szCs w:val="24"/>
              </w:rPr>
            </w:pPr>
            <w:r>
              <w:rPr>
                <w:rFonts w:hint="eastAsia" w:ascii="宋体" w:hAnsi="宋体"/>
                <w:color w:val="auto"/>
                <w:sz w:val="24"/>
                <w:szCs w:val="24"/>
              </w:rPr>
              <w:t>其他因素</w:t>
            </w:r>
          </w:p>
          <w:p>
            <w:pPr>
              <w:spacing w:line="320" w:lineRule="exact"/>
              <w:ind w:left="113" w:leftChars="54" w:right="113"/>
              <w:jc w:val="center"/>
              <w:rPr>
                <w:rFonts w:hint="eastAsia" w:ascii="宋体" w:hAnsi="宋体"/>
                <w:color w:val="auto"/>
                <w:sz w:val="24"/>
                <w:szCs w:val="24"/>
              </w:rPr>
            </w:pPr>
            <w:r>
              <w:rPr>
                <w:rFonts w:hint="eastAsia" w:ascii="宋体" w:hAnsi="宋体"/>
                <w:color w:val="auto"/>
                <w:sz w:val="24"/>
                <w:szCs w:val="24"/>
              </w:rPr>
              <w:t>(5分)</w:t>
            </w:r>
          </w:p>
        </w:tc>
        <w:tc>
          <w:tcPr>
            <w:tcW w:w="6870" w:type="dxa"/>
            <w:vAlign w:val="center"/>
          </w:tcPr>
          <w:p>
            <w:pPr>
              <w:spacing w:line="300" w:lineRule="exact"/>
              <w:ind w:left="113" w:right="113" w:firstLine="240" w:firstLineChars="100"/>
              <w:rPr>
                <w:rFonts w:hint="eastAsia" w:ascii="宋体" w:hAnsi="宋体"/>
                <w:color w:val="auto"/>
                <w:sz w:val="24"/>
                <w:szCs w:val="24"/>
              </w:rPr>
            </w:pPr>
            <w:r>
              <w:rPr>
                <w:rFonts w:hint="eastAsia" w:ascii="宋体" w:hAnsi="宋体"/>
                <w:color w:val="auto"/>
                <w:sz w:val="24"/>
                <w:szCs w:val="24"/>
              </w:rPr>
              <w:t>5分</w:t>
            </w:r>
          </w:p>
          <w:p>
            <w:pPr>
              <w:spacing w:line="300" w:lineRule="exact"/>
              <w:ind w:left="113" w:right="113" w:firstLine="240" w:firstLineChars="100"/>
              <w:rPr>
                <w:rFonts w:hint="eastAsia" w:ascii="宋体" w:hAnsi="宋体"/>
                <w:color w:val="auto"/>
                <w:sz w:val="24"/>
                <w:szCs w:val="24"/>
              </w:rPr>
            </w:pPr>
            <w:r>
              <w:rPr>
                <w:rFonts w:hint="eastAsia" w:ascii="宋体" w:hAnsi="宋体"/>
                <w:color w:val="auto"/>
                <w:sz w:val="24"/>
                <w:szCs w:val="24"/>
              </w:rPr>
              <w:t>履约信誉情况</w:t>
            </w:r>
          </w:p>
          <w:p>
            <w:pPr>
              <w:spacing w:line="300" w:lineRule="exact"/>
              <w:ind w:left="113" w:right="113" w:firstLine="241" w:firstLineChars="100"/>
              <w:rPr>
                <w:rFonts w:hint="eastAsia" w:ascii="宋体" w:hAnsi="宋体"/>
                <w:b/>
                <w:color w:val="auto"/>
                <w:sz w:val="24"/>
                <w:szCs w:val="24"/>
              </w:rPr>
            </w:pPr>
            <w:r>
              <w:rPr>
                <w:rFonts w:hint="eastAsia" w:ascii="宋体" w:hAnsi="宋体"/>
                <w:b/>
                <w:color w:val="auto"/>
                <w:sz w:val="24"/>
                <w:szCs w:val="24"/>
              </w:rPr>
              <w:t xml:space="preserve">1.信用等级： 满分为 2.5 分 </w:t>
            </w:r>
          </w:p>
          <w:p>
            <w:pPr>
              <w:spacing w:line="300" w:lineRule="exact"/>
              <w:ind w:left="113" w:right="113" w:firstLine="240" w:firstLineChars="100"/>
              <w:rPr>
                <w:rFonts w:hint="eastAsia" w:ascii="宋体" w:hAnsi="宋体"/>
                <w:color w:val="auto"/>
                <w:sz w:val="24"/>
                <w:szCs w:val="24"/>
              </w:rPr>
            </w:pPr>
            <w:r>
              <w:rPr>
                <w:rFonts w:hint="eastAsia" w:ascii="宋体" w:hAnsi="宋体"/>
                <w:color w:val="auto"/>
                <w:sz w:val="24"/>
                <w:szCs w:val="24"/>
              </w:rPr>
              <w:t>AA、A、B、C 级单位的信用等级分得分分别为 (2.50)、(2.4)、(2.25)、(1.75 )分。</w:t>
            </w:r>
          </w:p>
          <w:p>
            <w:pPr>
              <w:spacing w:line="300" w:lineRule="exact"/>
              <w:ind w:left="113" w:right="113" w:firstLine="240" w:firstLineChars="100"/>
              <w:rPr>
                <w:rFonts w:hint="eastAsia" w:ascii="宋体" w:hAnsi="宋体"/>
                <w:color w:val="auto"/>
                <w:sz w:val="24"/>
                <w:szCs w:val="24"/>
              </w:rPr>
            </w:pPr>
            <w:r>
              <w:rPr>
                <w:rFonts w:hint="eastAsia" w:ascii="宋体" w:hAnsi="宋体"/>
                <w:color w:val="auto"/>
                <w:sz w:val="24"/>
                <w:szCs w:val="24"/>
              </w:rPr>
              <w:t xml:space="preserve">注：①上述信用等级指的是广东省交通运输厅最新一年度的信用评价。如无广东省最新一年度信用等级而上一年度有广东省信用等级的，则其原信用等级可延续一年。 </w:t>
            </w:r>
          </w:p>
          <w:p>
            <w:pPr>
              <w:spacing w:line="300" w:lineRule="exact"/>
              <w:ind w:left="113" w:right="113" w:firstLine="240" w:firstLineChars="100"/>
              <w:rPr>
                <w:rFonts w:hint="eastAsia" w:ascii="宋体" w:hAnsi="宋体"/>
                <w:color w:val="auto"/>
                <w:sz w:val="24"/>
                <w:szCs w:val="24"/>
              </w:rPr>
            </w:pPr>
            <w:r>
              <w:rPr>
                <w:rFonts w:hint="eastAsia" w:ascii="宋体" w:hAnsi="宋体"/>
                <w:color w:val="auto"/>
                <w:sz w:val="24"/>
                <w:szCs w:val="24"/>
              </w:rPr>
              <w:t xml:space="preserve">②信用等级延续 1 年后仍无信用评价等级的，按照初次进入我省确定，原则上按 B 级对待，但下列情况除外：最新一年度的全国综合评价结果为 C 级或 D 级的，则按最新一年度的全国综合评价结果等级对待；或最新一年度的全国综合评价结果未被评为 C 级或 D 级的，但在我省原评价等级为 D级的，则按 C 级对待。 </w:t>
            </w:r>
          </w:p>
          <w:p>
            <w:pPr>
              <w:spacing w:line="300" w:lineRule="exact"/>
              <w:ind w:left="113" w:right="113" w:firstLine="240" w:firstLineChars="100"/>
              <w:rPr>
                <w:rFonts w:hint="eastAsia" w:ascii="宋体" w:hAnsi="宋体"/>
                <w:color w:val="auto"/>
                <w:sz w:val="24"/>
                <w:szCs w:val="24"/>
              </w:rPr>
            </w:pPr>
            <w:r>
              <w:rPr>
                <w:rFonts w:hint="eastAsia" w:ascii="宋体" w:hAnsi="宋体"/>
                <w:color w:val="auto"/>
                <w:sz w:val="24"/>
                <w:szCs w:val="24"/>
              </w:rPr>
              <w:t>③AA、A 级单位是指使用广东省信用评价等级申请承诺书的单位。提交申请承诺书未使用 AA、A 时，在评标过程中，AA 级信用等级企业按 A 级对待、A 级信用等级企业按 B 级对待。（注：属于资格预审项目的，以资格预审申请文件的为准。当出现跨年度信用等级时，以投标人资格预审时申请使用信用等级与投标文件递交日时的信用等级作比较，按“就低原则”认定等级，即降低等级的按低等级认定、升高等级的仍维持资审时的申请等级。）</w:t>
            </w:r>
          </w:p>
          <w:p>
            <w:pPr>
              <w:spacing w:line="300" w:lineRule="exact"/>
              <w:ind w:left="113" w:right="113" w:firstLine="241" w:firstLineChars="100"/>
              <w:rPr>
                <w:rFonts w:hint="eastAsia" w:ascii="宋体" w:hAnsi="宋体"/>
                <w:b/>
                <w:color w:val="auto"/>
                <w:sz w:val="24"/>
                <w:szCs w:val="24"/>
              </w:rPr>
            </w:pPr>
            <w:r>
              <w:rPr>
                <w:rFonts w:hint="eastAsia" w:ascii="宋体" w:hAnsi="宋体"/>
                <w:b/>
                <w:color w:val="auto"/>
                <w:sz w:val="24"/>
                <w:szCs w:val="24"/>
              </w:rPr>
              <w:t>2.履约情况：2.5 分，当没有下列情况的，得满分 2.5 分。</w:t>
            </w:r>
          </w:p>
          <w:p>
            <w:pPr>
              <w:spacing w:line="300" w:lineRule="exact"/>
              <w:ind w:left="113" w:right="113" w:firstLine="240" w:firstLineChars="100"/>
              <w:rPr>
                <w:rFonts w:hint="eastAsia" w:ascii="宋体" w:hAnsi="宋体"/>
                <w:color w:val="auto"/>
                <w:sz w:val="24"/>
                <w:szCs w:val="24"/>
              </w:rPr>
            </w:pPr>
            <w:r>
              <w:rPr>
                <w:rFonts w:hint="eastAsia" w:ascii="宋体" w:hAnsi="宋体"/>
                <w:color w:val="auto"/>
                <w:sz w:val="24"/>
                <w:szCs w:val="24"/>
              </w:rPr>
              <w:t xml:space="preserve">若自2015年1月1日至投标文件递交截止日止，因公路、水运工程质量、安全或履约问题等原因被： </w:t>
            </w:r>
          </w:p>
          <w:p>
            <w:pPr>
              <w:spacing w:line="300" w:lineRule="exact"/>
              <w:ind w:left="113" w:right="113" w:firstLine="240" w:firstLineChars="100"/>
              <w:rPr>
                <w:rFonts w:hint="eastAsia" w:ascii="宋体" w:hAnsi="宋体"/>
                <w:color w:val="auto"/>
                <w:sz w:val="24"/>
                <w:szCs w:val="24"/>
              </w:rPr>
            </w:pPr>
            <w:r>
              <w:rPr>
                <w:rFonts w:hint="eastAsia" w:ascii="宋体" w:hAnsi="宋体"/>
                <w:color w:val="auto"/>
                <w:sz w:val="24"/>
                <w:szCs w:val="24"/>
              </w:rPr>
              <w:t xml:space="preserve">（1）交通运输部通报批评一次的，扣 2.5 分/次； </w:t>
            </w:r>
          </w:p>
          <w:p>
            <w:pPr>
              <w:spacing w:line="300" w:lineRule="exact"/>
              <w:ind w:left="113" w:right="113" w:firstLine="240" w:firstLineChars="100"/>
              <w:rPr>
                <w:rFonts w:hint="eastAsia" w:ascii="宋体" w:hAnsi="宋体"/>
                <w:color w:val="auto"/>
                <w:sz w:val="24"/>
                <w:szCs w:val="24"/>
              </w:rPr>
            </w:pPr>
            <w:r>
              <w:rPr>
                <w:rFonts w:hint="eastAsia" w:ascii="宋体" w:hAnsi="宋体"/>
                <w:color w:val="auto"/>
                <w:sz w:val="24"/>
                <w:szCs w:val="24"/>
              </w:rPr>
              <w:t xml:space="preserve">（2）广东省交通运输厅通报批评一次的，扣 1.5 分/次； </w:t>
            </w:r>
          </w:p>
          <w:p>
            <w:pPr>
              <w:spacing w:line="300" w:lineRule="exact"/>
              <w:ind w:left="113" w:leftChars="54" w:right="113" w:firstLine="360" w:firstLineChars="150"/>
              <w:rPr>
                <w:rFonts w:hint="eastAsia" w:ascii="宋体" w:hAnsi="宋体"/>
                <w:color w:val="auto"/>
                <w:sz w:val="24"/>
                <w:szCs w:val="24"/>
              </w:rPr>
            </w:pPr>
            <w:r>
              <w:rPr>
                <w:rFonts w:hint="eastAsia" w:ascii="宋体" w:hAnsi="宋体"/>
                <w:color w:val="auto"/>
                <w:sz w:val="24"/>
                <w:szCs w:val="24"/>
              </w:rPr>
              <w:t>同一事项同时被多个部门通报批评或处罚只按最高的扣分计算 1 次。如果扣完本项分值，可以从总分中扣。</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0" w:type="dxa"/>
            <w:bottom w:w="0" w:type="dxa"/>
            <w:right w:w="0" w:type="dxa"/>
          </w:tblCellMar>
        </w:tblPrEx>
        <w:trPr>
          <w:trHeight w:val="1120" w:hRule="atLeast"/>
          <w:jc w:val="center"/>
        </w:trPr>
        <w:tc>
          <w:tcPr>
            <w:tcW w:w="9674" w:type="dxa"/>
            <w:gridSpan w:val="3"/>
            <w:vAlign w:val="top"/>
          </w:tcPr>
          <w:p>
            <w:pPr>
              <w:spacing w:line="320" w:lineRule="exact"/>
              <w:ind w:right="113"/>
              <w:rPr>
                <w:rFonts w:hint="eastAsia" w:ascii="宋体" w:hAnsi="宋体"/>
                <w:b/>
                <w:color w:val="auto"/>
                <w:sz w:val="24"/>
                <w:szCs w:val="24"/>
              </w:rPr>
            </w:pPr>
            <w:r>
              <w:rPr>
                <w:rFonts w:hint="eastAsia" w:ascii="宋体" w:hAnsi="宋体"/>
                <w:b/>
                <w:color w:val="auto"/>
                <w:sz w:val="24"/>
                <w:szCs w:val="24"/>
              </w:rPr>
              <w:t>需要补充的其他内容：</w:t>
            </w:r>
          </w:p>
          <w:p>
            <w:pPr>
              <w:spacing w:line="320" w:lineRule="exact"/>
              <w:ind w:right="113"/>
              <w:rPr>
                <w:rFonts w:hint="eastAsia"/>
                <w:color w:val="auto"/>
                <w:sz w:val="24"/>
                <w:szCs w:val="24"/>
              </w:rPr>
            </w:pPr>
            <w:r>
              <w:rPr>
                <w:rFonts w:hint="eastAsia" w:ascii="宋体" w:hAnsi="宋体"/>
                <w:color w:val="auto"/>
                <w:sz w:val="24"/>
                <w:szCs w:val="24"/>
              </w:rPr>
              <w:t>1、第二信封报价文件中</w:t>
            </w:r>
            <w:r>
              <w:rPr>
                <w:color w:val="auto"/>
                <w:sz w:val="24"/>
                <w:szCs w:val="24"/>
              </w:rPr>
              <w:t>已标价工程量清单</w:t>
            </w:r>
            <w:r>
              <w:rPr>
                <w:rFonts w:hint="eastAsia"/>
                <w:color w:val="auto"/>
                <w:sz w:val="24"/>
                <w:szCs w:val="24"/>
              </w:rPr>
              <w:t>及清单</w:t>
            </w:r>
            <w:r>
              <w:rPr>
                <w:color w:val="auto"/>
                <w:sz w:val="24"/>
                <w:szCs w:val="24"/>
              </w:rPr>
              <w:t>说明与招标文件规定一致，</w:t>
            </w:r>
            <w:r>
              <w:rPr>
                <w:rFonts w:hint="eastAsia"/>
                <w:color w:val="auto"/>
                <w:sz w:val="24"/>
                <w:szCs w:val="24"/>
              </w:rPr>
              <w:t>未</w:t>
            </w:r>
            <w:r>
              <w:rPr>
                <w:color w:val="auto"/>
                <w:sz w:val="24"/>
                <w:szCs w:val="24"/>
              </w:rPr>
              <w:t>进行修改和删减；</w:t>
            </w:r>
          </w:p>
          <w:p>
            <w:pPr>
              <w:spacing w:line="320" w:lineRule="exact"/>
              <w:ind w:right="113"/>
              <w:rPr>
                <w:rFonts w:hint="eastAsia"/>
                <w:color w:val="auto"/>
                <w:sz w:val="24"/>
                <w:szCs w:val="24"/>
              </w:rPr>
            </w:pPr>
            <w:r>
              <w:rPr>
                <w:rFonts w:hint="eastAsia"/>
                <w:color w:val="auto"/>
                <w:sz w:val="24"/>
                <w:szCs w:val="24"/>
              </w:rPr>
              <w:t>2、同一标段的同一投标人应只有一个投标报价，在招标文件规定的情况下，未提交选择性报价；</w:t>
            </w:r>
          </w:p>
          <w:p>
            <w:pPr>
              <w:spacing w:line="320" w:lineRule="exact"/>
              <w:ind w:right="113"/>
              <w:rPr>
                <w:rFonts w:hint="eastAsia" w:ascii="宋体" w:hAnsi="宋体"/>
                <w:color w:val="auto"/>
                <w:sz w:val="24"/>
                <w:szCs w:val="24"/>
              </w:rPr>
            </w:pPr>
            <w:r>
              <w:rPr>
                <w:rFonts w:hint="eastAsia"/>
                <w:color w:val="auto"/>
                <w:sz w:val="24"/>
                <w:szCs w:val="24"/>
              </w:rPr>
              <w:t>3、本项目不接受调价函。</w:t>
            </w:r>
          </w:p>
        </w:tc>
      </w:tr>
    </w:tbl>
    <w:p>
      <w:pPr>
        <w:rPr>
          <w:color w:val="auto"/>
          <w:sz w:val="24"/>
          <w:szCs w:val="24"/>
        </w:rPr>
      </w:pPr>
    </w:p>
    <w:p>
      <w:pPr>
        <w:pStyle w:val="3"/>
        <w:spacing w:line="300" w:lineRule="exact"/>
        <w:rPr>
          <w:rFonts w:hint="eastAsia" w:ascii="宋体" w:hAnsi="宋体"/>
          <w:snapToGrid w:val="0"/>
          <w:color w:val="auto"/>
          <w:kern w:val="0"/>
          <w:sz w:val="24"/>
          <w:szCs w:val="24"/>
          <w:vertAlign w:val="superscript"/>
        </w:rPr>
      </w:pPr>
      <w:bookmarkStart w:id="3" w:name="_Toc250758994"/>
      <w:bookmarkStart w:id="4" w:name="_Toc254967628"/>
      <w:bookmarkStart w:id="5" w:name="_Toc28096"/>
      <w:r>
        <w:rPr>
          <w:snapToGrid w:val="0"/>
          <w:color w:val="auto"/>
          <w:kern w:val="0"/>
          <w:sz w:val="24"/>
          <w:szCs w:val="24"/>
        </w:rPr>
        <w:br w:type="page"/>
      </w:r>
      <w:r>
        <w:rPr>
          <w:snapToGrid w:val="0"/>
          <w:color w:val="auto"/>
          <w:kern w:val="0"/>
          <w:sz w:val="24"/>
          <w:szCs w:val="24"/>
        </w:rPr>
        <w:t>1．</w:t>
      </w:r>
      <w:bookmarkEnd w:id="3"/>
      <w:bookmarkEnd w:id="4"/>
      <w:r>
        <w:rPr>
          <w:rFonts w:hint="eastAsia"/>
          <w:snapToGrid w:val="0"/>
          <w:color w:val="auto"/>
          <w:kern w:val="0"/>
          <w:sz w:val="24"/>
          <w:szCs w:val="24"/>
        </w:rPr>
        <w:t>评标方法、组织及工作程序</w:t>
      </w:r>
      <w:bookmarkEnd w:id="5"/>
    </w:p>
    <w:p>
      <w:pPr>
        <w:autoSpaceDE w:val="0"/>
        <w:autoSpaceDN w:val="0"/>
        <w:adjustRightInd w:val="0"/>
        <w:spacing w:before="30" w:line="400" w:lineRule="exact"/>
        <w:ind w:left="101" w:right="-47"/>
        <w:jc w:val="left"/>
        <w:rPr>
          <w:rFonts w:hint="eastAsia" w:ascii="宋体" w:hAnsi="宋体" w:cs="宋体"/>
          <w:color w:val="auto"/>
          <w:kern w:val="0"/>
          <w:sz w:val="24"/>
          <w:szCs w:val="24"/>
        </w:rPr>
      </w:pPr>
      <w:r>
        <w:rPr>
          <w:rFonts w:hint="eastAsia" w:ascii="宋体" w:hAnsi="宋体" w:cs="宋体"/>
          <w:color w:val="auto"/>
          <w:kern w:val="0"/>
          <w:sz w:val="24"/>
          <w:szCs w:val="24"/>
        </w:rPr>
        <w:t>1.1</w:t>
      </w:r>
      <w:r>
        <w:rPr>
          <w:rFonts w:hint="eastAsia" w:ascii="宋体" w:hAnsi="宋体" w:cs="宋体"/>
          <w:color w:val="auto"/>
          <w:spacing w:val="-53"/>
          <w:kern w:val="0"/>
          <w:sz w:val="24"/>
          <w:szCs w:val="24"/>
        </w:rPr>
        <w:t xml:space="preserve"> </w:t>
      </w:r>
      <w:r>
        <w:rPr>
          <w:rFonts w:hint="eastAsia" w:ascii="宋体" w:hAnsi="宋体" w:cs="宋体"/>
          <w:color w:val="auto"/>
          <w:kern w:val="0"/>
          <w:sz w:val="24"/>
          <w:szCs w:val="24"/>
        </w:rPr>
        <w:t xml:space="preserve">评标方法 </w:t>
      </w:r>
    </w:p>
    <w:p>
      <w:pPr>
        <w:autoSpaceDE w:val="0"/>
        <w:autoSpaceDN w:val="0"/>
        <w:adjustRightInd w:val="0"/>
        <w:spacing w:before="30" w:line="400" w:lineRule="exact"/>
        <w:ind w:left="101" w:leftChars="48" w:right="-47" w:firstLine="480" w:firstLineChars="200"/>
        <w:jc w:val="left"/>
        <w:rPr>
          <w:rFonts w:hint="eastAsia" w:ascii="宋体" w:hAnsi="宋体" w:cs="宋体"/>
          <w:color w:val="auto"/>
          <w:kern w:val="0"/>
          <w:sz w:val="24"/>
          <w:szCs w:val="24"/>
        </w:rPr>
      </w:pPr>
      <w:r>
        <w:rPr>
          <w:rFonts w:hint="eastAsia" w:ascii="宋体" w:hAnsi="宋体" w:cs="宋体"/>
          <w:color w:val="auto"/>
          <w:kern w:val="0"/>
          <w:sz w:val="24"/>
          <w:szCs w:val="24"/>
        </w:rPr>
        <w:t>本次评标采用双信封的合理低价法。评标委员会对满足招标文件实质性要求的投标文件，按照本章第 2.2 款规定的评分标准进行打分，并按得分由高到低顺序推荐中标候选人，但投标报价低于其成本的除外。</w:t>
      </w:r>
    </w:p>
    <w:p>
      <w:pPr>
        <w:autoSpaceDE w:val="0"/>
        <w:autoSpaceDN w:val="0"/>
        <w:adjustRightInd w:val="0"/>
        <w:spacing w:before="28" w:line="400" w:lineRule="exact"/>
        <w:ind w:left="101"/>
        <w:jc w:val="left"/>
        <w:rPr>
          <w:rFonts w:hint="eastAsia" w:ascii="宋体" w:hAnsi="宋体" w:cs="宋体"/>
          <w:color w:val="auto"/>
          <w:kern w:val="0"/>
          <w:sz w:val="24"/>
          <w:szCs w:val="24"/>
        </w:rPr>
      </w:pPr>
      <w:r>
        <w:rPr>
          <w:rFonts w:hint="eastAsia" w:ascii="宋体" w:hAnsi="宋体" w:cs="宋体"/>
          <w:color w:val="auto"/>
          <w:kern w:val="0"/>
          <w:sz w:val="24"/>
          <w:szCs w:val="24"/>
        </w:rPr>
        <w:t>1.2</w:t>
      </w:r>
      <w:r>
        <w:rPr>
          <w:rFonts w:hint="eastAsia" w:ascii="宋体" w:hAnsi="宋体" w:cs="宋体"/>
          <w:color w:val="auto"/>
          <w:spacing w:val="-53"/>
          <w:kern w:val="0"/>
          <w:sz w:val="24"/>
          <w:szCs w:val="24"/>
        </w:rPr>
        <w:t xml:space="preserve"> </w:t>
      </w:r>
      <w:r>
        <w:rPr>
          <w:rFonts w:hint="eastAsia" w:ascii="宋体" w:hAnsi="宋体" w:cs="宋体"/>
          <w:color w:val="auto"/>
          <w:kern w:val="0"/>
          <w:sz w:val="24"/>
          <w:szCs w:val="24"/>
        </w:rPr>
        <w:t>评标组织</w:t>
      </w:r>
    </w:p>
    <w:p>
      <w:pPr>
        <w:autoSpaceDE w:val="0"/>
        <w:autoSpaceDN w:val="0"/>
        <w:adjustRightInd w:val="0"/>
        <w:spacing w:before="90" w:line="400" w:lineRule="exact"/>
        <w:ind w:left="101" w:right="-47"/>
        <w:jc w:val="left"/>
        <w:rPr>
          <w:rFonts w:hint="eastAsia" w:ascii="宋体" w:hAnsi="宋体" w:cs="宋体"/>
          <w:color w:val="auto"/>
          <w:kern w:val="0"/>
          <w:sz w:val="24"/>
          <w:szCs w:val="24"/>
        </w:rPr>
      </w:pPr>
      <w:r>
        <w:rPr>
          <w:rFonts w:hint="eastAsia" w:ascii="宋体" w:hAnsi="宋体" w:cs="宋体"/>
          <w:color w:val="auto"/>
          <w:kern w:val="0"/>
          <w:sz w:val="24"/>
          <w:szCs w:val="24"/>
        </w:rPr>
        <w:t>1.2.1</w:t>
      </w:r>
      <w:r>
        <w:rPr>
          <w:rFonts w:hint="eastAsia" w:ascii="宋体" w:hAnsi="宋体" w:cs="宋体"/>
          <w:color w:val="auto"/>
          <w:spacing w:val="-53"/>
          <w:kern w:val="0"/>
          <w:sz w:val="24"/>
          <w:szCs w:val="24"/>
        </w:rPr>
        <w:t xml:space="preserve"> </w:t>
      </w:r>
      <w:r>
        <w:rPr>
          <w:rFonts w:hint="eastAsia" w:ascii="宋体" w:hAnsi="宋体" w:cs="宋体"/>
          <w:color w:val="auto"/>
          <w:kern w:val="0"/>
          <w:sz w:val="24"/>
          <w:szCs w:val="24"/>
        </w:rPr>
        <w:t xml:space="preserve">协助工作组 </w:t>
      </w:r>
    </w:p>
    <w:p>
      <w:pPr>
        <w:autoSpaceDE w:val="0"/>
        <w:autoSpaceDN w:val="0"/>
        <w:adjustRightInd w:val="0"/>
        <w:spacing w:before="90" w:line="400" w:lineRule="exact"/>
        <w:ind w:left="101" w:leftChars="48" w:right="-47" w:firstLine="484" w:firstLineChars="200"/>
        <w:jc w:val="left"/>
        <w:rPr>
          <w:rFonts w:hint="eastAsia" w:ascii="宋体" w:hAnsi="宋体" w:cs="宋体"/>
          <w:color w:val="auto"/>
          <w:kern w:val="0"/>
          <w:sz w:val="24"/>
          <w:szCs w:val="24"/>
        </w:rPr>
      </w:pPr>
      <w:r>
        <w:rPr>
          <w:rFonts w:hint="eastAsia" w:ascii="宋体" w:hAnsi="宋体" w:cs="宋体"/>
          <w:color w:val="auto"/>
          <w:spacing w:val="1"/>
          <w:kern w:val="0"/>
          <w:sz w:val="24"/>
          <w:szCs w:val="24"/>
        </w:rPr>
        <w:t>招标人可在评标工作开始前成立协助工作组，选派熟悉招标工作、政治素质高的人员组成，协助评标委员会工作。协助工作组人员的具体数量由招标人视评标工作量确定。</w:t>
      </w:r>
      <w:r>
        <w:rPr>
          <w:rFonts w:hint="eastAsia" w:ascii="宋体" w:hAnsi="宋体" w:cs="宋体"/>
          <w:color w:val="auto"/>
          <w:kern w:val="0"/>
          <w:sz w:val="24"/>
          <w:szCs w:val="24"/>
        </w:rPr>
        <w:t xml:space="preserve"> </w:t>
      </w:r>
    </w:p>
    <w:p>
      <w:pPr>
        <w:autoSpaceDE w:val="0"/>
        <w:autoSpaceDN w:val="0"/>
        <w:adjustRightInd w:val="0"/>
        <w:spacing w:before="90" w:line="400" w:lineRule="exact"/>
        <w:ind w:left="101" w:leftChars="48" w:right="-47" w:firstLine="480" w:firstLineChars="200"/>
        <w:jc w:val="left"/>
        <w:rPr>
          <w:rFonts w:hint="eastAsia" w:ascii="宋体" w:hAnsi="宋体" w:cs="宋体"/>
          <w:color w:val="auto"/>
          <w:kern w:val="0"/>
          <w:sz w:val="24"/>
          <w:szCs w:val="24"/>
        </w:rPr>
      </w:pPr>
      <w:r>
        <w:rPr>
          <w:rFonts w:hint="eastAsia" w:ascii="宋体" w:hAnsi="宋体" w:cs="宋体"/>
          <w:color w:val="auto"/>
          <w:kern w:val="0"/>
          <w:sz w:val="24"/>
          <w:szCs w:val="24"/>
        </w:rPr>
        <w:t>招标人可以协助评标委员会开展下列工作并提供相关信息：</w:t>
      </w:r>
    </w:p>
    <w:p>
      <w:pPr>
        <w:autoSpaceDE w:val="0"/>
        <w:autoSpaceDN w:val="0"/>
        <w:adjustRightInd w:val="0"/>
        <w:spacing w:before="28" w:line="400" w:lineRule="exact"/>
        <w:ind w:left="321"/>
        <w:jc w:val="left"/>
        <w:rPr>
          <w:rFonts w:hint="eastAsia" w:ascii="宋体" w:hAnsi="宋体" w:cs="宋体"/>
          <w:color w:val="auto"/>
          <w:kern w:val="0"/>
          <w:sz w:val="24"/>
          <w:szCs w:val="24"/>
        </w:rPr>
      </w:pPr>
      <w:r>
        <w:rPr>
          <w:rFonts w:hint="eastAsia" w:ascii="宋体" w:hAnsi="宋体" w:cs="宋体"/>
          <w:color w:val="auto"/>
          <w:kern w:val="0"/>
          <w:sz w:val="24"/>
          <w:szCs w:val="24"/>
        </w:rPr>
        <w:t>（1）根据招标文件，编制评标使用的相应表格；</w:t>
      </w:r>
    </w:p>
    <w:p>
      <w:pPr>
        <w:autoSpaceDE w:val="0"/>
        <w:autoSpaceDN w:val="0"/>
        <w:adjustRightInd w:val="0"/>
        <w:spacing w:before="28" w:line="400" w:lineRule="exact"/>
        <w:ind w:left="321"/>
        <w:jc w:val="left"/>
        <w:rPr>
          <w:rFonts w:hint="eastAsia" w:ascii="宋体" w:hAnsi="宋体" w:cs="宋体"/>
          <w:color w:val="auto"/>
          <w:kern w:val="0"/>
          <w:sz w:val="24"/>
          <w:szCs w:val="24"/>
        </w:rPr>
      </w:pPr>
      <w:r>
        <w:rPr>
          <w:rFonts w:hint="eastAsia" w:ascii="宋体" w:hAnsi="宋体" w:cs="宋体"/>
          <w:color w:val="auto"/>
          <w:kern w:val="0"/>
          <w:sz w:val="24"/>
          <w:szCs w:val="24"/>
        </w:rPr>
        <w:t>（2</w:t>
      </w:r>
      <w:r>
        <w:rPr>
          <w:rFonts w:hint="eastAsia" w:ascii="宋体" w:hAnsi="宋体" w:cs="宋体"/>
          <w:color w:val="auto"/>
          <w:spacing w:val="-46"/>
          <w:kern w:val="0"/>
          <w:sz w:val="24"/>
          <w:szCs w:val="24"/>
        </w:rPr>
        <w:t>）</w:t>
      </w:r>
      <w:r>
        <w:rPr>
          <w:rFonts w:hint="eastAsia" w:ascii="宋体" w:hAnsi="宋体" w:cs="宋体"/>
          <w:color w:val="auto"/>
          <w:kern w:val="0"/>
          <w:sz w:val="24"/>
          <w:szCs w:val="24"/>
        </w:rPr>
        <w:t>对投标报价进行算术性校核（如采用固化工程量清单，本步骤省略）；</w:t>
      </w:r>
    </w:p>
    <w:p>
      <w:pPr>
        <w:autoSpaceDE w:val="0"/>
        <w:autoSpaceDN w:val="0"/>
        <w:adjustRightInd w:val="0"/>
        <w:spacing w:line="400" w:lineRule="exact"/>
        <w:ind w:left="101" w:right="74" w:firstLine="220"/>
        <w:rPr>
          <w:rFonts w:hint="eastAsia" w:ascii="宋体" w:hAnsi="宋体" w:cs="宋体"/>
          <w:color w:val="auto"/>
          <w:kern w:val="0"/>
          <w:sz w:val="24"/>
          <w:szCs w:val="24"/>
        </w:rPr>
      </w:pPr>
      <w:r>
        <w:rPr>
          <w:rFonts w:hint="eastAsia" w:ascii="宋体" w:hAnsi="宋体" w:cs="宋体"/>
          <w:color w:val="auto"/>
          <w:kern w:val="0"/>
          <w:sz w:val="24"/>
          <w:szCs w:val="24"/>
        </w:rPr>
        <w:t>（3</w:t>
      </w:r>
      <w:r>
        <w:rPr>
          <w:rFonts w:hint="eastAsia" w:ascii="宋体" w:hAnsi="宋体" w:cs="宋体"/>
          <w:color w:val="auto"/>
          <w:spacing w:val="-46"/>
          <w:kern w:val="0"/>
          <w:sz w:val="24"/>
          <w:szCs w:val="24"/>
        </w:rPr>
        <w:t>）</w:t>
      </w:r>
      <w:r>
        <w:rPr>
          <w:rFonts w:hint="eastAsia" w:ascii="宋体" w:hAnsi="宋体" w:cs="宋体"/>
          <w:color w:val="auto"/>
          <w:kern w:val="0"/>
          <w:sz w:val="24"/>
          <w:szCs w:val="24"/>
        </w:rPr>
        <w:t>以评标标准和方法为依据，列出投标文件相对于招标文件的所有偏差，并进行归类汇总；</w:t>
      </w:r>
    </w:p>
    <w:p>
      <w:pPr>
        <w:autoSpaceDE w:val="0"/>
        <w:autoSpaceDN w:val="0"/>
        <w:adjustRightInd w:val="0"/>
        <w:spacing w:line="400" w:lineRule="exact"/>
        <w:ind w:left="142" w:right="74" w:firstLine="283" w:firstLineChars="118"/>
        <w:jc w:val="left"/>
        <w:rPr>
          <w:rFonts w:hint="eastAsia" w:ascii="宋体" w:hAnsi="宋体" w:cs="宋体"/>
          <w:color w:val="auto"/>
          <w:kern w:val="0"/>
          <w:sz w:val="24"/>
          <w:szCs w:val="24"/>
        </w:rPr>
      </w:pPr>
      <w:r>
        <w:rPr>
          <w:rFonts w:hint="eastAsia" w:ascii="宋体" w:hAnsi="宋体" w:cs="宋体"/>
          <w:color w:val="auto"/>
          <w:kern w:val="0"/>
          <w:sz w:val="24"/>
          <w:szCs w:val="24"/>
        </w:rPr>
        <w:t>（4）查询公路建设市场信用信息管理系统，对投标人的资质、业绩、主要人员资历和目前在岗情况、信用等级进行核实；</w:t>
      </w:r>
    </w:p>
    <w:p>
      <w:pPr>
        <w:autoSpaceDE w:val="0"/>
        <w:autoSpaceDN w:val="0"/>
        <w:adjustRightInd w:val="0"/>
        <w:spacing w:line="400" w:lineRule="exact"/>
        <w:ind w:left="143" w:leftChars="68" w:right="74" w:firstLine="480" w:firstLineChars="200"/>
        <w:jc w:val="left"/>
        <w:rPr>
          <w:rFonts w:hint="eastAsia" w:ascii="宋体" w:hAnsi="宋体" w:cs="宋体"/>
          <w:color w:val="auto"/>
          <w:kern w:val="0"/>
          <w:sz w:val="24"/>
          <w:szCs w:val="24"/>
        </w:rPr>
      </w:pPr>
      <w:r>
        <w:rPr>
          <w:rFonts w:hint="eastAsia" w:ascii="宋体" w:hAnsi="宋体" w:cs="宋体"/>
          <w:color w:val="auto"/>
          <w:kern w:val="0"/>
          <w:sz w:val="24"/>
          <w:szCs w:val="24"/>
        </w:rPr>
        <w:t>招标人不得对投标文件作出任何评价，不得故意遗漏或者片面摘录，不得在评标委员会对所有偏差定性之前透露存有偏差的投标人名称。</w:t>
      </w:r>
    </w:p>
    <w:p>
      <w:pPr>
        <w:autoSpaceDE w:val="0"/>
        <w:autoSpaceDN w:val="0"/>
        <w:adjustRightInd w:val="0"/>
        <w:spacing w:line="400" w:lineRule="exact"/>
        <w:ind w:left="101" w:right="74"/>
        <w:jc w:val="left"/>
        <w:rPr>
          <w:rFonts w:hint="eastAsia" w:ascii="宋体" w:hAnsi="宋体" w:cs="宋体"/>
          <w:color w:val="auto"/>
          <w:kern w:val="0"/>
          <w:sz w:val="24"/>
          <w:szCs w:val="24"/>
        </w:rPr>
      </w:pPr>
      <w:r>
        <w:rPr>
          <w:rFonts w:hint="eastAsia" w:ascii="宋体" w:hAnsi="宋体" w:cs="宋体"/>
          <w:color w:val="auto"/>
          <w:kern w:val="0"/>
          <w:sz w:val="24"/>
          <w:szCs w:val="24"/>
        </w:rPr>
        <w:t>1.2.2</w:t>
      </w:r>
      <w:r>
        <w:rPr>
          <w:rFonts w:hint="eastAsia" w:ascii="宋体" w:hAnsi="宋体" w:cs="宋体"/>
          <w:color w:val="auto"/>
          <w:spacing w:val="-53"/>
          <w:kern w:val="0"/>
          <w:sz w:val="24"/>
          <w:szCs w:val="24"/>
        </w:rPr>
        <w:t xml:space="preserve"> </w:t>
      </w:r>
      <w:r>
        <w:rPr>
          <w:rFonts w:hint="eastAsia" w:ascii="宋体" w:hAnsi="宋体" w:cs="宋体"/>
          <w:color w:val="auto"/>
          <w:kern w:val="0"/>
          <w:sz w:val="24"/>
          <w:szCs w:val="24"/>
        </w:rPr>
        <w:t xml:space="preserve">评标委员会 </w:t>
      </w:r>
    </w:p>
    <w:p>
      <w:pPr>
        <w:autoSpaceDE w:val="0"/>
        <w:autoSpaceDN w:val="0"/>
        <w:adjustRightInd w:val="0"/>
        <w:spacing w:line="400" w:lineRule="exact"/>
        <w:ind w:left="101" w:leftChars="48" w:right="74" w:firstLine="484" w:firstLineChars="200"/>
        <w:jc w:val="left"/>
        <w:rPr>
          <w:rFonts w:hint="eastAsia" w:ascii="宋体" w:hAnsi="宋体" w:cs="宋体"/>
          <w:color w:val="auto"/>
          <w:kern w:val="0"/>
          <w:sz w:val="24"/>
          <w:szCs w:val="24"/>
        </w:rPr>
      </w:pPr>
      <w:r>
        <w:rPr>
          <w:rFonts w:hint="eastAsia" w:ascii="宋体" w:hAnsi="宋体" w:cs="宋体"/>
          <w:color w:val="auto"/>
          <w:spacing w:val="1"/>
          <w:kern w:val="0"/>
          <w:sz w:val="24"/>
          <w:szCs w:val="24"/>
        </w:rPr>
        <w:t>评标委员会由招标人按国家、广东省等的有关规定依法组建。评标委员人数为五人及以上单数，评标委员会的主要工作内容包括：</w:t>
      </w:r>
    </w:p>
    <w:p>
      <w:pPr>
        <w:autoSpaceDE w:val="0"/>
        <w:autoSpaceDN w:val="0"/>
        <w:adjustRightInd w:val="0"/>
        <w:spacing w:line="400" w:lineRule="exact"/>
        <w:ind w:left="101" w:right="74" w:firstLine="220"/>
        <w:rPr>
          <w:rFonts w:hint="eastAsia" w:ascii="宋体" w:hAnsi="宋体" w:cs="宋体"/>
          <w:color w:val="auto"/>
          <w:kern w:val="0"/>
          <w:sz w:val="24"/>
          <w:szCs w:val="24"/>
        </w:rPr>
      </w:pPr>
      <w:r>
        <w:rPr>
          <w:rFonts w:hint="eastAsia" w:ascii="宋体" w:hAnsi="宋体" w:cs="宋体"/>
          <w:color w:val="auto"/>
          <w:kern w:val="0"/>
          <w:sz w:val="24"/>
          <w:szCs w:val="24"/>
        </w:rPr>
        <w:t>（1</w:t>
      </w:r>
      <w:r>
        <w:rPr>
          <w:rFonts w:hint="eastAsia" w:ascii="宋体" w:hAnsi="宋体" w:cs="宋体"/>
          <w:color w:val="auto"/>
          <w:spacing w:val="-30"/>
          <w:kern w:val="0"/>
          <w:sz w:val="24"/>
          <w:szCs w:val="24"/>
        </w:rPr>
        <w:t>）</w:t>
      </w:r>
      <w:r>
        <w:rPr>
          <w:rFonts w:hint="eastAsia" w:ascii="宋体" w:hAnsi="宋体" w:cs="宋体"/>
          <w:color w:val="auto"/>
          <w:kern w:val="0"/>
          <w:sz w:val="24"/>
          <w:szCs w:val="24"/>
        </w:rPr>
        <w:t>评标委员会开始评标工作之前，首先听取招标人、协助工作组关于工程情况和辅助工作的说明，并认真研读招标文件，获取评标所需的重要信息和数据；</w:t>
      </w:r>
    </w:p>
    <w:p>
      <w:pPr>
        <w:autoSpaceDE w:val="0"/>
        <w:autoSpaceDN w:val="0"/>
        <w:adjustRightInd w:val="0"/>
        <w:spacing w:line="400" w:lineRule="exact"/>
        <w:ind w:left="101" w:right="74" w:firstLine="220"/>
        <w:rPr>
          <w:rFonts w:hint="eastAsia" w:ascii="宋体" w:hAnsi="宋体" w:cs="宋体"/>
          <w:color w:val="auto"/>
          <w:kern w:val="0"/>
          <w:sz w:val="24"/>
          <w:szCs w:val="24"/>
        </w:rPr>
      </w:pPr>
      <w:r>
        <w:rPr>
          <w:rFonts w:hint="eastAsia" w:ascii="宋体" w:hAnsi="宋体" w:cs="宋体"/>
          <w:color w:val="auto"/>
          <w:kern w:val="0"/>
          <w:sz w:val="24"/>
          <w:szCs w:val="24"/>
        </w:rPr>
        <w:t>（2</w:t>
      </w:r>
      <w:r>
        <w:rPr>
          <w:rFonts w:hint="eastAsia" w:ascii="宋体" w:hAnsi="宋体" w:cs="宋体"/>
          <w:color w:val="auto"/>
          <w:spacing w:val="-46"/>
          <w:kern w:val="0"/>
          <w:sz w:val="24"/>
          <w:szCs w:val="24"/>
        </w:rPr>
        <w:t>）</w:t>
      </w:r>
      <w:r>
        <w:rPr>
          <w:rFonts w:hint="eastAsia" w:ascii="宋体" w:hAnsi="宋体" w:cs="宋体"/>
          <w:color w:val="auto"/>
          <w:kern w:val="0"/>
          <w:sz w:val="24"/>
          <w:szCs w:val="24"/>
        </w:rPr>
        <w:t>对协助工作组提供的评标工作用表和评标内容进行核查；</w:t>
      </w:r>
    </w:p>
    <w:p>
      <w:pPr>
        <w:autoSpaceDE w:val="0"/>
        <w:autoSpaceDN w:val="0"/>
        <w:adjustRightInd w:val="0"/>
        <w:spacing w:line="400" w:lineRule="exact"/>
        <w:ind w:left="101" w:right="74" w:firstLine="220"/>
        <w:rPr>
          <w:rFonts w:hint="eastAsia" w:ascii="宋体" w:hAnsi="宋体" w:cs="宋体"/>
          <w:color w:val="auto"/>
          <w:kern w:val="0"/>
          <w:sz w:val="24"/>
          <w:szCs w:val="24"/>
        </w:rPr>
      </w:pPr>
      <w:r>
        <w:rPr>
          <w:rFonts w:hint="eastAsia" w:ascii="宋体" w:hAnsi="宋体" w:cs="宋体"/>
          <w:color w:val="auto"/>
          <w:kern w:val="0"/>
          <w:sz w:val="24"/>
          <w:szCs w:val="24"/>
        </w:rPr>
        <w:t>（3）按照以下 1.3 款程序进行各项评审工作。</w:t>
      </w:r>
    </w:p>
    <w:p>
      <w:pPr>
        <w:autoSpaceDE w:val="0"/>
        <w:autoSpaceDN w:val="0"/>
        <w:adjustRightInd w:val="0"/>
        <w:spacing w:line="400" w:lineRule="exact"/>
        <w:ind w:left="321" w:right="74" w:hanging="220"/>
        <w:jc w:val="left"/>
        <w:rPr>
          <w:rFonts w:hint="eastAsia" w:ascii="宋体" w:hAnsi="宋体" w:cs="宋体"/>
          <w:color w:val="auto"/>
          <w:kern w:val="0"/>
          <w:sz w:val="24"/>
          <w:szCs w:val="24"/>
        </w:rPr>
      </w:pPr>
      <w:r>
        <w:rPr>
          <w:rFonts w:hint="eastAsia" w:ascii="宋体" w:hAnsi="宋体" w:cs="宋体"/>
          <w:color w:val="auto"/>
          <w:kern w:val="0"/>
          <w:sz w:val="24"/>
          <w:szCs w:val="24"/>
        </w:rPr>
        <w:t>1.3</w:t>
      </w:r>
      <w:r>
        <w:rPr>
          <w:rFonts w:hint="eastAsia" w:ascii="宋体" w:hAnsi="宋体" w:cs="宋体"/>
          <w:color w:val="auto"/>
          <w:spacing w:val="-53"/>
          <w:kern w:val="0"/>
          <w:sz w:val="24"/>
          <w:szCs w:val="24"/>
        </w:rPr>
        <w:t xml:space="preserve"> </w:t>
      </w:r>
      <w:r>
        <w:rPr>
          <w:rFonts w:hint="eastAsia" w:ascii="宋体" w:hAnsi="宋体" w:cs="宋体"/>
          <w:color w:val="auto"/>
          <w:kern w:val="0"/>
          <w:sz w:val="24"/>
          <w:szCs w:val="24"/>
        </w:rPr>
        <w:t>评审工作程序：</w:t>
      </w:r>
    </w:p>
    <w:p>
      <w:pPr>
        <w:autoSpaceDE w:val="0"/>
        <w:autoSpaceDN w:val="0"/>
        <w:adjustRightInd w:val="0"/>
        <w:spacing w:line="400" w:lineRule="exact"/>
        <w:ind w:left="317" w:leftChars="151" w:right="74" w:firstLine="240" w:firstLineChars="100"/>
        <w:jc w:val="left"/>
        <w:rPr>
          <w:rFonts w:hint="eastAsia" w:ascii="宋体" w:hAnsi="宋体" w:cs="宋体"/>
          <w:color w:val="auto"/>
          <w:kern w:val="0"/>
          <w:sz w:val="24"/>
          <w:szCs w:val="24"/>
        </w:rPr>
      </w:pPr>
      <w:r>
        <w:rPr>
          <w:rFonts w:hint="eastAsia" w:ascii="宋体" w:hAnsi="宋体" w:cs="宋体"/>
          <w:color w:val="auto"/>
          <w:kern w:val="0"/>
          <w:sz w:val="24"/>
          <w:szCs w:val="24"/>
        </w:rPr>
        <w:t>评标委员会将按以下程序开展评标工作：</w:t>
      </w:r>
    </w:p>
    <w:p>
      <w:pPr>
        <w:autoSpaceDE w:val="0"/>
        <w:autoSpaceDN w:val="0"/>
        <w:adjustRightInd w:val="0"/>
        <w:spacing w:line="400" w:lineRule="exact"/>
        <w:ind w:right="74" w:firstLine="120" w:firstLineChars="50"/>
        <w:jc w:val="left"/>
        <w:rPr>
          <w:rFonts w:hint="eastAsia" w:ascii="宋体" w:hAnsi="宋体" w:cs="宋体"/>
          <w:color w:val="auto"/>
          <w:kern w:val="0"/>
          <w:sz w:val="24"/>
          <w:szCs w:val="24"/>
        </w:rPr>
      </w:pPr>
      <w:r>
        <w:rPr>
          <w:rFonts w:hint="eastAsia" w:ascii="宋体" w:hAnsi="宋体" w:cs="宋体"/>
          <w:color w:val="auto"/>
          <w:kern w:val="0"/>
          <w:sz w:val="24"/>
          <w:szCs w:val="24"/>
        </w:rPr>
        <w:t xml:space="preserve">(一）第一信封（商务文件）的评审： </w:t>
      </w:r>
    </w:p>
    <w:p>
      <w:pPr>
        <w:autoSpaceDE w:val="0"/>
        <w:autoSpaceDN w:val="0"/>
        <w:adjustRightInd w:val="0"/>
        <w:spacing w:line="400" w:lineRule="exact"/>
        <w:ind w:left="317" w:leftChars="151" w:right="74" w:firstLine="240" w:firstLineChars="100"/>
        <w:jc w:val="left"/>
        <w:rPr>
          <w:rFonts w:hint="eastAsia" w:ascii="宋体" w:hAnsi="宋体" w:cs="宋体"/>
          <w:color w:val="auto"/>
          <w:kern w:val="0"/>
          <w:sz w:val="24"/>
          <w:szCs w:val="24"/>
        </w:rPr>
      </w:pPr>
      <w:r>
        <w:rPr>
          <w:rFonts w:hint="eastAsia" w:ascii="宋体" w:hAnsi="宋体" w:cs="宋体"/>
          <w:color w:val="auto"/>
          <w:kern w:val="0"/>
          <w:sz w:val="24"/>
          <w:szCs w:val="24"/>
        </w:rPr>
        <w:t xml:space="preserve">1、初步评审，包括对投标文件进行形式评审与响应性评审、资格评审（适用于资格后审）； </w:t>
      </w:r>
    </w:p>
    <w:p>
      <w:pPr>
        <w:autoSpaceDE w:val="0"/>
        <w:autoSpaceDN w:val="0"/>
        <w:adjustRightInd w:val="0"/>
        <w:spacing w:line="400" w:lineRule="exact"/>
        <w:ind w:left="317" w:leftChars="151" w:right="74" w:firstLine="240" w:firstLineChars="100"/>
        <w:jc w:val="left"/>
        <w:rPr>
          <w:rFonts w:hint="eastAsia" w:ascii="宋体" w:hAnsi="宋体" w:cs="宋体"/>
          <w:color w:val="auto"/>
          <w:kern w:val="0"/>
          <w:sz w:val="24"/>
          <w:szCs w:val="24"/>
        </w:rPr>
      </w:pPr>
      <w:r>
        <w:rPr>
          <w:rFonts w:hint="eastAsia" w:ascii="宋体" w:hAnsi="宋体" w:cs="宋体"/>
          <w:color w:val="auto"/>
          <w:kern w:val="0"/>
          <w:sz w:val="24"/>
          <w:szCs w:val="24"/>
        </w:rPr>
        <w:t xml:space="preserve">2、详细评审：评标委员会首先对通过初步评审的投标文件第一个信封（商务文件）进行详细评审，对投标人的其他因素（信誉等级、履约情况）得分评审与确认； </w:t>
      </w:r>
    </w:p>
    <w:p>
      <w:pPr>
        <w:autoSpaceDE w:val="0"/>
        <w:autoSpaceDN w:val="0"/>
        <w:adjustRightInd w:val="0"/>
        <w:spacing w:line="400" w:lineRule="exact"/>
        <w:ind w:left="317" w:leftChars="151" w:right="74" w:firstLine="240" w:firstLineChars="100"/>
        <w:jc w:val="left"/>
        <w:rPr>
          <w:rFonts w:hint="eastAsia" w:ascii="宋体" w:hAnsi="宋体" w:cs="宋体"/>
          <w:color w:val="auto"/>
          <w:kern w:val="0"/>
          <w:sz w:val="24"/>
          <w:szCs w:val="24"/>
        </w:rPr>
      </w:pPr>
      <w:r>
        <w:rPr>
          <w:rFonts w:hint="eastAsia" w:ascii="宋体" w:hAnsi="宋体" w:cs="宋体"/>
          <w:color w:val="auto"/>
          <w:kern w:val="0"/>
          <w:sz w:val="24"/>
          <w:szCs w:val="24"/>
        </w:rPr>
        <w:t>3、对投标文件进行必要的澄清和说明（如有）。</w:t>
      </w:r>
    </w:p>
    <w:p>
      <w:pPr>
        <w:autoSpaceDE w:val="0"/>
        <w:autoSpaceDN w:val="0"/>
        <w:adjustRightInd w:val="0"/>
        <w:spacing w:line="400" w:lineRule="exact"/>
        <w:ind w:right="74"/>
        <w:jc w:val="left"/>
        <w:rPr>
          <w:rFonts w:hint="eastAsia" w:ascii="宋体" w:hAnsi="宋体" w:cs="宋体"/>
          <w:color w:val="auto"/>
          <w:kern w:val="0"/>
          <w:sz w:val="24"/>
          <w:szCs w:val="24"/>
        </w:rPr>
      </w:pPr>
      <w:r>
        <w:rPr>
          <w:rFonts w:hint="eastAsia" w:ascii="宋体" w:hAnsi="宋体" w:cs="宋体"/>
          <w:color w:val="auto"/>
          <w:kern w:val="0"/>
          <w:sz w:val="24"/>
          <w:szCs w:val="24"/>
        </w:rPr>
        <w:t>（二）第二信封（报价文件）的评审：</w:t>
      </w:r>
    </w:p>
    <w:p>
      <w:pPr>
        <w:autoSpaceDE w:val="0"/>
        <w:autoSpaceDN w:val="0"/>
        <w:adjustRightInd w:val="0"/>
        <w:spacing w:line="400" w:lineRule="exact"/>
        <w:ind w:left="321" w:leftChars="153" w:right="74" w:firstLine="240" w:firstLineChars="100"/>
        <w:jc w:val="left"/>
        <w:rPr>
          <w:rFonts w:hint="eastAsia" w:ascii="宋体" w:hAnsi="宋体" w:cs="宋体"/>
          <w:color w:val="auto"/>
          <w:kern w:val="0"/>
          <w:sz w:val="24"/>
          <w:szCs w:val="24"/>
        </w:rPr>
      </w:pPr>
      <w:r>
        <w:rPr>
          <w:rFonts w:hint="eastAsia" w:ascii="宋体" w:hAnsi="宋体" w:cs="宋体"/>
          <w:color w:val="auto"/>
          <w:kern w:val="0"/>
          <w:sz w:val="24"/>
          <w:szCs w:val="24"/>
        </w:rPr>
        <w:t>1、初步评审：只有投标文件第一个信封通过初步评审的投标人才能继续参加第二信封报价文件的评审。对第一个信封不通过初步评审的投标人的第二信封直接退回，不再开启内层信封。</w:t>
      </w:r>
    </w:p>
    <w:p>
      <w:pPr>
        <w:autoSpaceDE w:val="0"/>
        <w:autoSpaceDN w:val="0"/>
        <w:adjustRightInd w:val="0"/>
        <w:spacing w:line="400" w:lineRule="exact"/>
        <w:ind w:left="321" w:leftChars="153" w:right="74" w:firstLine="240" w:firstLineChars="100"/>
        <w:jc w:val="left"/>
        <w:rPr>
          <w:rFonts w:hint="eastAsia" w:ascii="宋体" w:hAnsi="宋体" w:cs="宋体"/>
          <w:color w:val="auto"/>
          <w:kern w:val="0"/>
          <w:sz w:val="24"/>
          <w:szCs w:val="24"/>
        </w:rPr>
      </w:pPr>
      <w:r>
        <w:rPr>
          <w:rFonts w:hint="eastAsia" w:ascii="宋体" w:hAnsi="宋体" w:cs="宋体"/>
          <w:color w:val="auto"/>
          <w:kern w:val="0"/>
          <w:sz w:val="24"/>
          <w:szCs w:val="24"/>
        </w:rPr>
        <w:t xml:space="preserve">2、详细评审：计算评标基准价及评标价得分，进行算术性修正（如采用固化工程量清单，本步骤省略）； </w:t>
      </w:r>
    </w:p>
    <w:p>
      <w:pPr>
        <w:autoSpaceDE w:val="0"/>
        <w:autoSpaceDN w:val="0"/>
        <w:adjustRightInd w:val="0"/>
        <w:spacing w:line="400" w:lineRule="exact"/>
        <w:ind w:left="321" w:leftChars="153" w:right="74" w:firstLine="240" w:firstLineChars="100"/>
        <w:jc w:val="left"/>
        <w:rPr>
          <w:rFonts w:hint="eastAsia" w:ascii="宋体" w:hAnsi="宋体" w:cs="宋体"/>
          <w:color w:val="auto"/>
          <w:kern w:val="0"/>
          <w:sz w:val="24"/>
          <w:szCs w:val="24"/>
        </w:rPr>
      </w:pPr>
      <w:r>
        <w:rPr>
          <w:rFonts w:hint="eastAsia" w:ascii="宋体" w:hAnsi="宋体" w:cs="宋体"/>
          <w:color w:val="auto"/>
          <w:kern w:val="0"/>
          <w:sz w:val="24"/>
          <w:szCs w:val="24"/>
        </w:rPr>
        <w:t>3、对投标文件进行必要的澄清和说明（如有）；</w:t>
      </w:r>
    </w:p>
    <w:p>
      <w:pPr>
        <w:tabs>
          <w:tab w:val="left" w:pos="142"/>
        </w:tabs>
        <w:autoSpaceDE w:val="0"/>
        <w:autoSpaceDN w:val="0"/>
        <w:adjustRightInd w:val="0"/>
        <w:spacing w:line="400" w:lineRule="exact"/>
        <w:ind w:right="74"/>
        <w:jc w:val="left"/>
        <w:rPr>
          <w:rFonts w:hint="eastAsia" w:ascii="宋体" w:hAnsi="宋体" w:cs="宋体"/>
          <w:color w:val="auto"/>
          <w:kern w:val="0"/>
          <w:sz w:val="24"/>
          <w:szCs w:val="24"/>
        </w:rPr>
      </w:pPr>
      <w:r>
        <w:rPr>
          <w:rFonts w:hint="eastAsia" w:ascii="宋体" w:hAnsi="宋体" w:cs="宋体"/>
          <w:color w:val="auto"/>
          <w:kern w:val="0"/>
          <w:sz w:val="24"/>
          <w:szCs w:val="24"/>
        </w:rPr>
        <w:t xml:space="preserve">（三）综合投标人的评标价得分及其他因素（信誉等级、履约情况）得分，提出评标意见。 </w:t>
      </w:r>
    </w:p>
    <w:p>
      <w:pPr>
        <w:autoSpaceDE w:val="0"/>
        <w:autoSpaceDN w:val="0"/>
        <w:adjustRightInd w:val="0"/>
        <w:spacing w:line="400" w:lineRule="exact"/>
        <w:ind w:right="74"/>
        <w:jc w:val="left"/>
        <w:rPr>
          <w:rFonts w:hint="eastAsia" w:ascii="宋体" w:hAnsi="宋体" w:cs="宋体"/>
          <w:color w:val="auto"/>
          <w:kern w:val="0"/>
          <w:sz w:val="24"/>
          <w:szCs w:val="24"/>
        </w:rPr>
      </w:pPr>
      <w:r>
        <w:rPr>
          <w:rFonts w:hint="eastAsia" w:ascii="宋体" w:hAnsi="宋体" w:cs="宋体"/>
          <w:color w:val="auto"/>
          <w:kern w:val="0"/>
          <w:sz w:val="24"/>
          <w:szCs w:val="24"/>
        </w:rPr>
        <w:t xml:space="preserve">（四）根据《中华人民共和国招标投标法实施条例》第三十九条、第四十条、第四十一条的有关规定，对在评标过程中发现的投标人与投标人之间、投标人与招标人之间存在的串通投标的情形进行评审和认定。 </w:t>
      </w:r>
    </w:p>
    <w:p>
      <w:pPr>
        <w:autoSpaceDE w:val="0"/>
        <w:autoSpaceDN w:val="0"/>
        <w:adjustRightInd w:val="0"/>
        <w:spacing w:line="400" w:lineRule="exact"/>
        <w:ind w:right="74"/>
        <w:jc w:val="left"/>
        <w:rPr>
          <w:rFonts w:hint="eastAsia" w:ascii="宋体" w:hAnsi="宋体" w:cs="宋体"/>
          <w:color w:val="auto"/>
          <w:kern w:val="0"/>
          <w:sz w:val="24"/>
          <w:szCs w:val="24"/>
        </w:rPr>
      </w:pPr>
      <w:r>
        <w:rPr>
          <w:rFonts w:hint="eastAsia" w:ascii="宋体" w:hAnsi="宋体" w:cs="宋体"/>
          <w:color w:val="auto"/>
          <w:kern w:val="0"/>
          <w:sz w:val="24"/>
          <w:szCs w:val="24"/>
        </w:rPr>
        <w:t>（五）按评标办法规定推荐中标候选人，编写评标报告。</w:t>
      </w:r>
    </w:p>
    <w:p>
      <w:pPr>
        <w:pStyle w:val="3"/>
        <w:spacing w:line="400" w:lineRule="exact"/>
        <w:rPr>
          <w:rFonts w:ascii="宋体" w:hAnsi="宋体"/>
          <w:snapToGrid w:val="0"/>
          <w:color w:val="auto"/>
          <w:kern w:val="0"/>
          <w:sz w:val="24"/>
          <w:szCs w:val="24"/>
        </w:rPr>
      </w:pPr>
      <w:bookmarkStart w:id="6" w:name="_Toc144974557"/>
      <w:bookmarkStart w:id="7" w:name="_Toc31872"/>
      <w:bookmarkStart w:id="8" w:name="_Toc152042367"/>
      <w:bookmarkStart w:id="9" w:name="_Toc152045590"/>
      <w:bookmarkStart w:id="10" w:name="_Toc179632608"/>
      <w:bookmarkStart w:id="11" w:name="_Toc250758995"/>
      <w:bookmarkStart w:id="12" w:name="_Toc254967629"/>
      <w:r>
        <w:rPr>
          <w:rFonts w:ascii="宋体" w:hAnsi="宋体"/>
          <w:snapToGrid w:val="0"/>
          <w:color w:val="auto"/>
          <w:kern w:val="0"/>
          <w:sz w:val="24"/>
          <w:szCs w:val="24"/>
        </w:rPr>
        <w:t>2. 评审标准</w:t>
      </w:r>
      <w:bookmarkEnd w:id="6"/>
      <w:bookmarkEnd w:id="7"/>
      <w:bookmarkEnd w:id="8"/>
      <w:bookmarkEnd w:id="9"/>
      <w:bookmarkEnd w:id="10"/>
      <w:bookmarkEnd w:id="11"/>
      <w:bookmarkEnd w:id="12"/>
    </w:p>
    <w:p>
      <w:pPr>
        <w:spacing w:line="400" w:lineRule="exact"/>
        <w:outlineLvl w:val="0"/>
        <w:rPr>
          <w:rFonts w:ascii="宋体" w:hAnsi="宋体"/>
          <w:b/>
          <w:snapToGrid w:val="0"/>
          <w:color w:val="auto"/>
          <w:kern w:val="0"/>
          <w:sz w:val="24"/>
          <w:szCs w:val="24"/>
        </w:rPr>
      </w:pPr>
      <w:bookmarkStart w:id="13" w:name="_Toc179632609"/>
      <w:bookmarkStart w:id="14" w:name="_Toc25862"/>
      <w:bookmarkStart w:id="15" w:name="_Toc144974558"/>
      <w:bookmarkStart w:id="16" w:name="_Toc152042368"/>
      <w:bookmarkStart w:id="17" w:name="_Toc152045591"/>
      <w:r>
        <w:rPr>
          <w:rFonts w:ascii="宋体" w:hAnsi="宋体"/>
          <w:b/>
          <w:snapToGrid w:val="0"/>
          <w:color w:val="auto"/>
          <w:kern w:val="0"/>
          <w:sz w:val="24"/>
          <w:szCs w:val="24"/>
        </w:rPr>
        <w:t>2.1 初步评审标准</w:t>
      </w:r>
      <w:bookmarkEnd w:id="13"/>
      <w:bookmarkEnd w:id="14"/>
      <w:bookmarkEnd w:id="15"/>
      <w:bookmarkEnd w:id="16"/>
      <w:bookmarkEnd w:id="17"/>
    </w:p>
    <w:p>
      <w:pPr>
        <w:spacing w:line="400" w:lineRule="exact"/>
        <w:ind w:firstLine="480" w:firstLineChars="200"/>
        <w:rPr>
          <w:rFonts w:ascii="宋体" w:hAnsi="宋体"/>
          <w:snapToGrid w:val="0"/>
          <w:color w:val="auto"/>
          <w:kern w:val="0"/>
          <w:sz w:val="24"/>
          <w:szCs w:val="24"/>
        </w:rPr>
      </w:pPr>
      <w:r>
        <w:rPr>
          <w:rFonts w:ascii="宋体" w:hAnsi="宋体"/>
          <w:snapToGrid w:val="0"/>
          <w:color w:val="auto"/>
          <w:kern w:val="0"/>
          <w:sz w:val="24"/>
          <w:szCs w:val="24"/>
        </w:rPr>
        <w:t>2.1.1 形式评审标准：见评标办法前附表。</w:t>
      </w:r>
    </w:p>
    <w:p>
      <w:pPr>
        <w:spacing w:line="400" w:lineRule="exact"/>
        <w:ind w:firstLine="480" w:firstLineChars="200"/>
        <w:rPr>
          <w:rFonts w:ascii="宋体" w:hAnsi="宋体"/>
          <w:snapToGrid w:val="0"/>
          <w:color w:val="auto"/>
          <w:kern w:val="0"/>
          <w:sz w:val="24"/>
          <w:szCs w:val="24"/>
        </w:rPr>
      </w:pPr>
      <w:r>
        <w:rPr>
          <w:rFonts w:ascii="宋体" w:hAnsi="宋体"/>
          <w:snapToGrid w:val="0"/>
          <w:color w:val="auto"/>
          <w:kern w:val="0"/>
          <w:sz w:val="24"/>
          <w:szCs w:val="24"/>
        </w:rPr>
        <w:t>2.1.2 资格评审标准：见评标办法前附表。</w:t>
      </w:r>
    </w:p>
    <w:p>
      <w:pPr>
        <w:spacing w:line="400" w:lineRule="exact"/>
        <w:ind w:firstLine="480" w:firstLineChars="200"/>
        <w:rPr>
          <w:rFonts w:hint="eastAsia" w:ascii="宋体" w:hAnsi="宋体"/>
          <w:snapToGrid w:val="0"/>
          <w:color w:val="auto"/>
          <w:kern w:val="0"/>
          <w:sz w:val="24"/>
          <w:szCs w:val="24"/>
        </w:rPr>
      </w:pPr>
      <w:r>
        <w:rPr>
          <w:rFonts w:ascii="宋体" w:hAnsi="宋体"/>
          <w:snapToGrid w:val="0"/>
          <w:color w:val="auto"/>
          <w:kern w:val="0"/>
          <w:sz w:val="24"/>
          <w:szCs w:val="24"/>
        </w:rPr>
        <w:t>2.1.3 响应性评审标准：见评标办法前附表。</w:t>
      </w:r>
    </w:p>
    <w:p>
      <w:pPr>
        <w:spacing w:line="400" w:lineRule="exact"/>
        <w:ind w:firstLine="480" w:firstLineChars="200"/>
        <w:rPr>
          <w:rFonts w:hint="eastAsia" w:ascii="宋体" w:hAnsi="宋体"/>
          <w:snapToGrid w:val="0"/>
          <w:color w:val="auto"/>
          <w:kern w:val="0"/>
          <w:sz w:val="24"/>
          <w:szCs w:val="24"/>
        </w:rPr>
      </w:pPr>
    </w:p>
    <w:p>
      <w:pPr>
        <w:spacing w:line="400" w:lineRule="exact"/>
        <w:ind w:right="840"/>
        <w:rPr>
          <w:rFonts w:ascii="宋体" w:hAnsi="宋体"/>
          <w:b/>
          <w:snapToGrid w:val="0"/>
          <w:color w:val="auto"/>
          <w:kern w:val="0"/>
          <w:sz w:val="24"/>
          <w:szCs w:val="24"/>
        </w:rPr>
      </w:pPr>
      <w:r>
        <w:rPr>
          <w:rFonts w:ascii="宋体" w:hAnsi="宋体"/>
          <w:b/>
          <w:snapToGrid w:val="0"/>
          <w:color w:val="auto"/>
          <w:kern w:val="0"/>
          <w:sz w:val="24"/>
          <w:szCs w:val="24"/>
        </w:rPr>
        <w:t>2.2分值构成与评分标准</w:t>
      </w:r>
    </w:p>
    <w:p>
      <w:pPr>
        <w:spacing w:line="400" w:lineRule="exact"/>
        <w:ind w:right="840" w:firstLine="480" w:firstLineChars="200"/>
        <w:rPr>
          <w:rFonts w:hint="eastAsia" w:ascii="宋体" w:hAnsi="宋体"/>
          <w:snapToGrid w:val="0"/>
          <w:color w:val="auto"/>
          <w:kern w:val="0"/>
          <w:sz w:val="24"/>
          <w:szCs w:val="24"/>
        </w:rPr>
      </w:pPr>
      <w:r>
        <w:rPr>
          <w:rFonts w:hint="eastAsia" w:ascii="宋体" w:hAnsi="宋体"/>
          <w:snapToGrid w:val="0"/>
          <w:color w:val="auto"/>
          <w:kern w:val="0"/>
          <w:sz w:val="24"/>
          <w:szCs w:val="24"/>
        </w:rPr>
        <w:t>2.2.1分值构成</w:t>
      </w:r>
    </w:p>
    <w:p>
      <w:pPr>
        <w:spacing w:line="400" w:lineRule="exact"/>
        <w:ind w:right="840" w:firstLine="480" w:firstLineChars="200"/>
        <w:rPr>
          <w:rFonts w:hint="eastAsia" w:ascii="宋体" w:hAnsi="宋体"/>
          <w:snapToGrid w:val="0"/>
          <w:color w:val="auto"/>
          <w:kern w:val="0"/>
          <w:sz w:val="24"/>
          <w:szCs w:val="24"/>
        </w:rPr>
      </w:pPr>
      <w:r>
        <w:rPr>
          <w:rFonts w:hint="eastAsia" w:ascii="宋体" w:hAnsi="宋体"/>
          <w:snapToGrid w:val="0"/>
          <w:color w:val="auto"/>
          <w:kern w:val="0"/>
          <w:sz w:val="24"/>
          <w:szCs w:val="24"/>
        </w:rPr>
        <w:t>（1）</w:t>
      </w:r>
      <w:r>
        <w:rPr>
          <w:rFonts w:ascii="宋体" w:hAnsi="宋体"/>
          <w:snapToGrid w:val="0"/>
          <w:color w:val="auto"/>
          <w:kern w:val="0"/>
          <w:sz w:val="24"/>
          <w:szCs w:val="24"/>
        </w:rPr>
        <w:t>施工组织设计</w:t>
      </w:r>
      <w:r>
        <w:rPr>
          <w:rFonts w:hint="eastAsia" w:ascii="宋体" w:hAnsi="宋体"/>
          <w:snapToGrid w:val="0"/>
          <w:color w:val="auto"/>
          <w:kern w:val="0"/>
          <w:sz w:val="24"/>
          <w:szCs w:val="24"/>
        </w:rPr>
        <w:t>：</w:t>
      </w:r>
      <w:r>
        <w:rPr>
          <w:rFonts w:ascii="宋体" w:hAnsi="宋体"/>
          <w:snapToGrid w:val="0"/>
          <w:color w:val="auto"/>
          <w:kern w:val="0"/>
          <w:sz w:val="24"/>
          <w:szCs w:val="24"/>
        </w:rPr>
        <w:t>见评标办法前附表</w:t>
      </w:r>
    </w:p>
    <w:p>
      <w:pPr>
        <w:spacing w:line="400" w:lineRule="exact"/>
        <w:ind w:right="840" w:firstLine="480" w:firstLineChars="200"/>
        <w:rPr>
          <w:rFonts w:hint="eastAsia" w:ascii="宋体" w:hAnsi="宋体"/>
          <w:snapToGrid w:val="0"/>
          <w:color w:val="auto"/>
          <w:kern w:val="0"/>
          <w:sz w:val="24"/>
          <w:szCs w:val="24"/>
        </w:rPr>
      </w:pPr>
      <w:r>
        <w:rPr>
          <w:rFonts w:hint="eastAsia" w:ascii="宋体" w:hAnsi="宋体"/>
          <w:snapToGrid w:val="0"/>
          <w:color w:val="auto"/>
          <w:kern w:val="0"/>
          <w:sz w:val="24"/>
          <w:szCs w:val="24"/>
        </w:rPr>
        <w:t>（2）</w:t>
      </w:r>
      <w:r>
        <w:rPr>
          <w:rFonts w:ascii="宋体" w:hAnsi="宋体"/>
          <w:snapToGrid w:val="0"/>
          <w:color w:val="auto"/>
          <w:kern w:val="0"/>
          <w:sz w:val="24"/>
          <w:szCs w:val="24"/>
        </w:rPr>
        <w:t>项目管理机构：见评标办法前附表</w:t>
      </w:r>
    </w:p>
    <w:p>
      <w:pPr>
        <w:spacing w:line="400" w:lineRule="exact"/>
        <w:ind w:right="840" w:firstLine="480" w:firstLineChars="200"/>
        <w:rPr>
          <w:rFonts w:hint="eastAsia" w:ascii="宋体" w:hAnsi="宋体"/>
          <w:snapToGrid w:val="0"/>
          <w:color w:val="auto"/>
          <w:kern w:val="0"/>
          <w:sz w:val="24"/>
          <w:szCs w:val="24"/>
        </w:rPr>
      </w:pPr>
      <w:r>
        <w:rPr>
          <w:rFonts w:hint="eastAsia" w:ascii="宋体" w:hAnsi="宋体"/>
          <w:snapToGrid w:val="0"/>
          <w:color w:val="auto"/>
          <w:kern w:val="0"/>
          <w:sz w:val="24"/>
          <w:szCs w:val="24"/>
        </w:rPr>
        <w:t>（3）投标报价：</w:t>
      </w:r>
      <w:r>
        <w:rPr>
          <w:rFonts w:ascii="宋体" w:hAnsi="宋体"/>
          <w:snapToGrid w:val="0"/>
          <w:color w:val="auto"/>
          <w:kern w:val="0"/>
          <w:sz w:val="24"/>
          <w:szCs w:val="24"/>
        </w:rPr>
        <w:t>见评标办法前附</w:t>
      </w:r>
      <w:r>
        <w:rPr>
          <w:rFonts w:hint="eastAsia" w:ascii="宋体" w:hAnsi="宋体"/>
          <w:snapToGrid w:val="0"/>
          <w:color w:val="auto"/>
          <w:kern w:val="0"/>
          <w:sz w:val="24"/>
          <w:szCs w:val="24"/>
        </w:rPr>
        <w:t>表</w:t>
      </w:r>
    </w:p>
    <w:p>
      <w:pPr>
        <w:spacing w:line="400" w:lineRule="exact"/>
        <w:ind w:right="840" w:firstLine="480" w:firstLineChars="200"/>
        <w:rPr>
          <w:rFonts w:hint="eastAsia" w:ascii="宋体" w:hAnsi="宋体"/>
          <w:snapToGrid w:val="0"/>
          <w:color w:val="auto"/>
          <w:kern w:val="0"/>
          <w:sz w:val="24"/>
          <w:szCs w:val="24"/>
        </w:rPr>
      </w:pPr>
      <w:r>
        <w:rPr>
          <w:rFonts w:hint="eastAsia" w:ascii="宋体" w:hAnsi="宋体"/>
          <w:snapToGrid w:val="0"/>
          <w:color w:val="auto"/>
          <w:kern w:val="0"/>
          <w:sz w:val="24"/>
          <w:szCs w:val="24"/>
        </w:rPr>
        <w:t>（4）其他评分因素：</w:t>
      </w:r>
      <w:r>
        <w:rPr>
          <w:rFonts w:ascii="宋体" w:hAnsi="宋体"/>
          <w:snapToGrid w:val="0"/>
          <w:color w:val="auto"/>
          <w:kern w:val="0"/>
          <w:sz w:val="24"/>
          <w:szCs w:val="24"/>
        </w:rPr>
        <w:t>见评标办法前附</w:t>
      </w:r>
      <w:r>
        <w:rPr>
          <w:rFonts w:hint="eastAsia" w:ascii="宋体" w:hAnsi="宋体"/>
          <w:snapToGrid w:val="0"/>
          <w:color w:val="auto"/>
          <w:kern w:val="0"/>
          <w:sz w:val="24"/>
          <w:szCs w:val="24"/>
        </w:rPr>
        <w:t>表</w:t>
      </w:r>
    </w:p>
    <w:p>
      <w:pPr>
        <w:spacing w:line="400" w:lineRule="exact"/>
        <w:ind w:right="840" w:firstLine="480" w:firstLineChars="200"/>
        <w:rPr>
          <w:rFonts w:hint="eastAsia" w:ascii="宋体" w:hAnsi="宋体"/>
          <w:snapToGrid w:val="0"/>
          <w:color w:val="auto"/>
          <w:kern w:val="0"/>
          <w:sz w:val="24"/>
          <w:szCs w:val="24"/>
        </w:rPr>
      </w:pPr>
      <w:r>
        <w:rPr>
          <w:rFonts w:hint="eastAsia" w:ascii="宋体" w:hAnsi="宋体"/>
          <w:snapToGrid w:val="0"/>
          <w:color w:val="auto"/>
          <w:kern w:val="0"/>
          <w:sz w:val="24"/>
          <w:szCs w:val="24"/>
        </w:rPr>
        <w:t>2.2.2评标基准价计算</w:t>
      </w:r>
    </w:p>
    <w:p>
      <w:pPr>
        <w:spacing w:line="400" w:lineRule="exact"/>
        <w:ind w:right="840" w:firstLine="480" w:firstLineChars="200"/>
        <w:rPr>
          <w:rFonts w:hint="eastAsia" w:ascii="宋体" w:hAnsi="宋体"/>
          <w:snapToGrid w:val="0"/>
          <w:color w:val="auto"/>
          <w:kern w:val="0"/>
          <w:sz w:val="24"/>
          <w:szCs w:val="24"/>
        </w:rPr>
      </w:pPr>
      <w:r>
        <w:rPr>
          <w:rFonts w:hint="eastAsia" w:ascii="宋体" w:hAnsi="宋体"/>
          <w:snapToGrid w:val="0"/>
          <w:color w:val="auto"/>
          <w:kern w:val="0"/>
          <w:sz w:val="24"/>
          <w:szCs w:val="24"/>
        </w:rPr>
        <w:t>评标基准价计算方法：</w:t>
      </w:r>
      <w:r>
        <w:rPr>
          <w:rFonts w:ascii="宋体" w:hAnsi="宋体"/>
          <w:snapToGrid w:val="0"/>
          <w:color w:val="auto"/>
          <w:kern w:val="0"/>
          <w:sz w:val="24"/>
          <w:szCs w:val="24"/>
        </w:rPr>
        <w:t>见评标办法前附</w:t>
      </w:r>
      <w:r>
        <w:rPr>
          <w:rFonts w:hint="eastAsia" w:ascii="宋体" w:hAnsi="宋体"/>
          <w:snapToGrid w:val="0"/>
          <w:color w:val="auto"/>
          <w:kern w:val="0"/>
          <w:sz w:val="24"/>
          <w:szCs w:val="24"/>
        </w:rPr>
        <w:t>表</w:t>
      </w:r>
    </w:p>
    <w:p>
      <w:pPr>
        <w:spacing w:line="400" w:lineRule="exact"/>
        <w:ind w:right="840" w:firstLine="480" w:firstLineChars="200"/>
        <w:rPr>
          <w:rFonts w:hint="eastAsia" w:ascii="宋体" w:hAnsi="宋体"/>
          <w:snapToGrid w:val="0"/>
          <w:color w:val="auto"/>
          <w:kern w:val="0"/>
          <w:sz w:val="24"/>
          <w:szCs w:val="24"/>
        </w:rPr>
      </w:pPr>
      <w:r>
        <w:rPr>
          <w:rFonts w:hint="eastAsia" w:ascii="宋体" w:hAnsi="宋体"/>
          <w:snapToGrid w:val="0"/>
          <w:color w:val="auto"/>
          <w:kern w:val="0"/>
          <w:sz w:val="24"/>
          <w:szCs w:val="24"/>
        </w:rPr>
        <w:t>2.2.3</w:t>
      </w:r>
      <w:r>
        <w:rPr>
          <w:rFonts w:ascii="宋体" w:hAnsi="宋体"/>
          <w:snapToGrid w:val="0"/>
          <w:color w:val="auto"/>
          <w:kern w:val="0"/>
          <w:sz w:val="24"/>
          <w:szCs w:val="24"/>
        </w:rPr>
        <w:t>评标价的偏差率计算</w:t>
      </w:r>
    </w:p>
    <w:p>
      <w:pPr>
        <w:spacing w:line="400" w:lineRule="exact"/>
        <w:ind w:right="840" w:firstLine="480" w:firstLineChars="200"/>
        <w:rPr>
          <w:rFonts w:hint="eastAsia" w:ascii="宋体" w:hAnsi="宋体"/>
          <w:snapToGrid w:val="0"/>
          <w:color w:val="auto"/>
          <w:kern w:val="0"/>
          <w:sz w:val="24"/>
          <w:szCs w:val="24"/>
        </w:rPr>
      </w:pPr>
      <w:r>
        <w:rPr>
          <w:rFonts w:ascii="宋体" w:hAnsi="宋体"/>
          <w:snapToGrid w:val="0"/>
          <w:color w:val="auto"/>
          <w:kern w:val="0"/>
          <w:sz w:val="24"/>
          <w:szCs w:val="24"/>
        </w:rPr>
        <w:t>评标价的偏差率计算公式</w:t>
      </w:r>
      <w:r>
        <w:rPr>
          <w:rFonts w:hint="eastAsia" w:ascii="宋体" w:hAnsi="宋体"/>
          <w:snapToGrid w:val="0"/>
          <w:color w:val="auto"/>
          <w:kern w:val="0"/>
          <w:sz w:val="24"/>
          <w:szCs w:val="24"/>
        </w:rPr>
        <w:t>：</w:t>
      </w:r>
      <w:r>
        <w:rPr>
          <w:rFonts w:ascii="宋体" w:hAnsi="宋体"/>
          <w:snapToGrid w:val="0"/>
          <w:color w:val="auto"/>
          <w:kern w:val="0"/>
          <w:sz w:val="24"/>
          <w:szCs w:val="24"/>
        </w:rPr>
        <w:t>见评标办法前附</w:t>
      </w:r>
      <w:r>
        <w:rPr>
          <w:rFonts w:hint="eastAsia" w:ascii="宋体" w:hAnsi="宋体"/>
          <w:snapToGrid w:val="0"/>
          <w:color w:val="auto"/>
          <w:kern w:val="0"/>
          <w:sz w:val="24"/>
          <w:szCs w:val="24"/>
        </w:rPr>
        <w:t>表</w:t>
      </w:r>
    </w:p>
    <w:p>
      <w:pPr>
        <w:spacing w:line="400" w:lineRule="exact"/>
        <w:ind w:right="840" w:firstLine="480" w:firstLineChars="200"/>
        <w:rPr>
          <w:rFonts w:hint="eastAsia" w:ascii="宋体" w:hAnsi="宋体"/>
          <w:snapToGrid w:val="0"/>
          <w:color w:val="auto"/>
          <w:kern w:val="0"/>
          <w:sz w:val="24"/>
          <w:szCs w:val="24"/>
        </w:rPr>
      </w:pPr>
      <w:r>
        <w:rPr>
          <w:rFonts w:hint="eastAsia" w:ascii="宋体" w:hAnsi="宋体"/>
          <w:snapToGrid w:val="0"/>
          <w:color w:val="auto"/>
          <w:kern w:val="0"/>
          <w:sz w:val="24"/>
          <w:szCs w:val="24"/>
        </w:rPr>
        <w:t>2.2.4评分标准</w:t>
      </w:r>
    </w:p>
    <w:p>
      <w:pPr>
        <w:spacing w:line="400" w:lineRule="exact"/>
        <w:ind w:right="840" w:firstLine="480" w:firstLineChars="200"/>
        <w:rPr>
          <w:rFonts w:hint="eastAsia" w:ascii="宋体" w:hAnsi="宋体"/>
          <w:snapToGrid w:val="0"/>
          <w:color w:val="auto"/>
          <w:kern w:val="0"/>
          <w:sz w:val="24"/>
          <w:szCs w:val="24"/>
        </w:rPr>
      </w:pPr>
      <w:r>
        <w:rPr>
          <w:rFonts w:hint="eastAsia" w:ascii="宋体" w:hAnsi="宋体"/>
          <w:snapToGrid w:val="0"/>
          <w:color w:val="auto"/>
          <w:kern w:val="0"/>
          <w:sz w:val="24"/>
          <w:szCs w:val="24"/>
        </w:rPr>
        <w:t>（1）</w:t>
      </w:r>
      <w:r>
        <w:rPr>
          <w:rFonts w:ascii="宋体" w:hAnsi="宋体"/>
          <w:snapToGrid w:val="0"/>
          <w:color w:val="auto"/>
          <w:kern w:val="0"/>
          <w:sz w:val="24"/>
          <w:szCs w:val="24"/>
        </w:rPr>
        <w:t>施工组织设计</w:t>
      </w:r>
      <w:r>
        <w:rPr>
          <w:rFonts w:hint="eastAsia" w:ascii="宋体" w:hAnsi="宋体"/>
          <w:snapToGrid w:val="0"/>
          <w:color w:val="auto"/>
          <w:kern w:val="0"/>
          <w:sz w:val="24"/>
          <w:szCs w:val="24"/>
        </w:rPr>
        <w:t>评分标准：</w:t>
      </w:r>
      <w:r>
        <w:rPr>
          <w:rFonts w:ascii="宋体" w:hAnsi="宋体"/>
          <w:snapToGrid w:val="0"/>
          <w:color w:val="auto"/>
          <w:kern w:val="0"/>
          <w:sz w:val="24"/>
          <w:szCs w:val="24"/>
        </w:rPr>
        <w:t>见评标办法前附表</w:t>
      </w:r>
    </w:p>
    <w:p>
      <w:pPr>
        <w:spacing w:line="400" w:lineRule="exact"/>
        <w:ind w:right="840" w:firstLine="480" w:firstLineChars="200"/>
        <w:rPr>
          <w:rFonts w:hint="eastAsia" w:ascii="宋体" w:hAnsi="宋体"/>
          <w:snapToGrid w:val="0"/>
          <w:color w:val="auto"/>
          <w:kern w:val="0"/>
          <w:sz w:val="24"/>
          <w:szCs w:val="24"/>
        </w:rPr>
      </w:pPr>
      <w:r>
        <w:rPr>
          <w:rFonts w:hint="eastAsia" w:ascii="宋体" w:hAnsi="宋体"/>
          <w:snapToGrid w:val="0"/>
          <w:color w:val="auto"/>
          <w:kern w:val="0"/>
          <w:sz w:val="24"/>
          <w:szCs w:val="24"/>
        </w:rPr>
        <w:t>（2）</w:t>
      </w:r>
      <w:r>
        <w:rPr>
          <w:rFonts w:ascii="宋体" w:hAnsi="宋体"/>
          <w:snapToGrid w:val="0"/>
          <w:color w:val="auto"/>
          <w:kern w:val="0"/>
          <w:sz w:val="24"/>
          <w:szCs w:val="24"/>
        </w:rPr>
        <w:t>项目管理机构</w:t>
      </w:r>
      <w:r>
        <w:rPr>
          <w:rFonts w:hint="eastAsia" w:ascii="宋体" w:hAnsi="宋体"/>
          <w:snapToGrid w:val="0"/>
          <w:color w:val="auto"/>
          <w:kern w:val="0"/>
          <w:sz w:val="24"/>
          <w:szCs w:val="24"/>
        </w:rPr>
        <w:t>评分标准</w:t>
      </w:r>
      <w:r>
        <w:rPr>
          <w:rFonts w:ascii="宋体" w:hAnsi="宋体"/>
          <w:snapToGrid w:val="0"/>
          <w:color w:val="auto"/>
          <w:kern w:val="0"/>
          <w:sz w:val="24"/>
          <w:szCs w:val="24"/>
        </w:rPr>
        <w:t>：见评标办法前附表</w:t>
      </w:r>
    </w:p>
    <w:p>
      <w:pPr>
        <w:spacing w:line="400" w:lineRule="exact"/>
        <w:ind w:right="840" w:firstLine="480" w:firstLineChars="200"/>
        <w:rPr>
          <w:rFonts w:hint="eastAsia" w:ascii="宋体" w:hAnsi="宋体"/>
          <w:snapToGrid w:val="0"/>
          <w:color w:val="auto"/>
          <w:kern w:val="0"/>
          <w:sz w:val="24"/>
          <w:szCs w:val="24"/>
        </w:rPr>
      </w:pPr>
      <w:r>
        <w:rPr>
          <w:rFonts w:hint="eastAsia" w:ascii="宋体" w:hAnsi="宋体"/>
          <w:snapToGrid w:val="0"/>
          <w:color w:val="auto"/>
          <w:kern w:val="0"/>
          <w:sz w:val="24"/>
          <w:szCs w:val="24"/>
        </w:rPr>
        <w:t>（3）投标报价评分标准：</w:t>
      </w:r>
      <w:r>
        <w:rPr>
          <w:rFonts w:ascii="宋体" w:hAnsi="宋体"/>
          <w:snapToGrid w:val="0"/>
          <w:color w:val="auto"/>
          <w:kern w:val="0"/>
          <w:sz w:val="24"/>
          <w:szCs w:val="24"/>
        </w:rPr>
        <w:t>见评标办法前附</w:t>
      </w:r>
      <w:r>
        <w:rPr>
          <w:rFonts w:hint="eastAsia" w:ascii="宋体" w:hAnsi="宋体"/>
          <w:snapToGrid w:val="0"/>
          <w:color w:val="auto"/>
          <w:kern w:val="0"/>
          <w:sz w:val="24"/>
          <w:szCs w:val="24"/>
        </w:rPr>
        <w:t>表</w:t>
      </w:r>
    </w:p>
    <w:p>
      <w:pPr>
        <w:spacing w:line="400" w:lineRule="exact"/>
        <w:ind w:right="840" w:firstLine="480" w:firstLineChars="200"/>
        <w:rPr>
          <w:rFonts w:hint="eastAsia" w:ascii="宋体" w:hAnsi="宋体"/>
          <w:snapToGrid w:val="0"/>
          <w:color w:val="auto"/>
          <w:kern w:val="0"/>
          <w:sz w:val="24"/>
          <w:szCs w:val="24"/>
        </w:rPr>
      </w:pPr>
      <w:r>
        <w:rPr>
          <w:rFonts w:hint="eastAsia" w:ascii="宋体" w:hAnsi="宋体"/>
          <w:snapToGrid w:val="0"/>
          <w:color w:val="auto"/>
          <w:kern w:val="0"/>
          <w:sz w:val="24"/>
          <w:szCs w:val="24"/>
        </w:rPr>
        <w:t>（4）其他因素评分标准：</w:t>
      </w:r>
      <w:r>
        <w:rPr>
          <w:rFonts w:ascii="宋体" w:hAnsi="宋体"/>
          <w:snapToGrid w:val="0"/>
          <w:color w:val="auto"/>
          <w:kern w:val="0"/>
          <w:sz w:val="24"/>
          <w:szCs w:val="24"/>
        </w:rPr>
        <w:t>见评标办法前附</w:t>
      </w:r>
      <w:r>
        <w:rPr>
          <w:rFonts w:hint="eastAsia" w:ascii="宋体" w:hAnsi="宋体"/>
          <w:snapToGrid w:val="0"/>
          <w:color w:val="auto"/>
          <w:kern w:val="0"/>
          <w:sz w:val="24"/>
          <w:szCs w:val="24"/>
        </w:rPr>
        <w:t>表</w:t>
      </w:r>
    </w:p>
    <w:p>
      <w:pPr>
        <w:spacing w:line="400" w:lineRule="exact"/>
        <w:ind w:right="840" w:firstLine="480" w:firstLineChars="200"/>
        <w:rPr>
          <w:rFonts w:hint="eastAsia" w:ascii="宋体" w:hAnsi="宋体"/>
          <w:snapToGrid w:val="0"/>
          <w:color w:val="auto"/>
          <w:kern w:val="0"/>
          <w:sz w:val="24"/>
          <w:szCs w:val="24"/>
        </w:rPr>
      </w:pPr>
    </w:p>
    <w:p>
      <w:pPr>
        <w:pStyle w:val="3"/>
        <w:numPr>
          <w:ilvl w:val="0"/>
          <w:numId w:val="2"/>
        </w:numPr>
        <w:spacing w:line="400" w:lineRule="exact"/>
        <w:rPr>
          <w:rFonts w:ascii="宋体" w:hAnsi="宋体"/>
          <w:snapToGrid w:val="0"/>
          <w:color w:val="auto"/>
          <w:kern w:val="0"/>
          <w:sz w:val="24"/>
          <w:szCs w:val="24"/>
        </w:rPr>
      </w:pPr>
      <w:bookmarkStart w:id="18" w:name="_Toc254967630"/>
      <w:bookmarkStart w:id="19" w:name="_Toc9304"/>
      <w:bookmarkStart w:id="20" w:name="_Toc250758996"/>
      <w:r>
        <w:rPr>
          <w:rFonts w:ascii="宋体" w:hAnsi="宋体"/>
          <w:snapToGrid w:val="0"/>
          <w:color w:val="auto"/>
          <w:kern w:val="0"/>
          <w:sz w:val="24"/>
          <w:szCs w:val="24"/>
        </w:rPr>
        <w:t>评标程序</w:t>
      </w:r>
      <w:bookmarkEnd w:id="18"/>
      <w:bookmarkEnd w:id="19"/>
      <w:bookmarkEnd w:id="20"/>
      <w:bookmarkStart w:id="21" w:name="_Toc5669"/>
    </w:p>
    <w:p>
      <w:pPr>
        <w:pStyle w:val="3"/>
        <w:pageBreakBefore w:val="0"/>
        <w:widowControl w:val="0"/>
        <w:numPr>
          <w:ilvl w:val="0"/>
          <w:numId w:val="0"/>
        </w:numPr>
        <w:kinsoku/>
        <w:wordWrap/>
        <w:overflowPunct/>
        <w:topLinePunct w:val="0"/>
        <w:autoSpaceDE/>
        <w:autoSpaceDN/>
        <w:bidi w:val="0"/>
        <w:adjustRightInd/>
        <w:snapToGrid/>
        <w:spacing w:line="240" w:lineRule="auto"/>
        <w:ind w:left="0" w:leftChars="0"/>
        <w:jc w:val="both"/>
        <w:textAlignment w:val="auto"/>
        <w:rPr>
          <w:rFonts w:ascii="宋体" w:hAnsi="宋体"/>
          <w:b w:val="0"/>
          <w:snapToGrid w:val="0"/>
          <w:color w:val="auto"/>
          <w:kern w:val="0"/>
          <w:sz w:val="24"/>
          <w:szCs w:val="24"/>
        </w:rPr>
      </w:pPr>
      <w:r>
        <w:rPr>
          <w:rFonts w:ascii="宋体" w:hAnsi="宋体"/>
          <w:b w:val="0"/>
          <w:snapToGrid w:val="0"/>
          <w:color w:val="auto"/>
          <w:kern w:val="0"/>
          <w:sz w:val="24"/>
          <w:szCs w:val="24"/>
        </w:rPr>
        <w:t>3.</w:t>
      </w:r>
      <w:r>
        <w:rPr>
          <w:rFonts w:hint="eastAsia" w:ascii="宋体" w:hAnsi="宋体"/>
          <w:b w:val="0"/>
          <w:snapToGrid w:val="0"/>
          <w:color w:val="auto"/>
          <w:kern w:val="0"/>
          <w:sz w:val="24"/>
          <w:szCs w:val="24"/>
        </w:rPr>
        <w:t>1</w:t>
      </w:r>
      <w:r>
        <w:rPr>
          <w:rFonts w:ascii="宋体" w:hAnsi="宋体"/>
          <w:b w:val="0"/>
          <w:snapToGrid w:val="0"/>
          <w:color w:val="auto"/>
          <w:kern w:val="0"/>
          <w:sz w:val="24"/>
          <w:szCs w:val="24"/>
        </w:rPr>
        <w:t xml:space="preserve"> </w:t>
      </w:r>
      <w:r>
        <w:rPr>
          <w:rFonts w:hint="eastAsia" w:ascii="宋体" w:hAnsi="宋体"/>
          <w:b w:val="0"/>
          <w:snapToGrid w:val="0"/>
          <w:color w:val="auto"/>
          <w:kern w:val="0"/>
          <w:sz w:val="24"/>
          <w:szCs w:val="24"/>
        </w:rPr>
        <w:t>初步</w:t>
      </w:r>
      <w:r>
        <w:rPr>
          <w:rFonts w:ascii="宋体" w:hAnsi="宋体"/>
          <w:b w:val="0"/>
          <w:snapToGrid w:val="0"/>
          <w:color w:val="auto"/>
          <w:kern w:val="0"/>
          <w:sz w:val="24"/>
          <w:szCs w:val="24"/>
        </w:rPr>
        <w:t>评审</w:t>
      </w:r>
      <w:bookmarkEnd w:id="21"/>
      <w:r>
        <w:rPr>
          <w:rFonts w:hint="eastAsia" w:ascii="宋体" w:hAnsi="宋体"/>
          <w:b w:val="0"/>
          <w:snapToGrid w:val="0"/>
          <w:color w:val="auto"/>
          <w:kern w:val="0"/>
          <w:sz w:val="24"/>
          <w:szCs w:val="24"/>
        </w:rPr>
        <w:t xml:space="preserve"> </w:t>
      </w:r>
    </w:p>
    <w:p>
      <w:pPr>
        <w:pageBreakBefore w:val="0"/>
        <w:widowControl w:val="0"/>
        <w:kinsoku/>
        <w:wordWrap/>
        <w:overflowPunct/>
        <w:topLinePunct w:val="0"/>
        <w:autoSpaceDE/>
        <w:autoSpaceDN/>
        <w:bidi w:val="0"/>
        <w:adjustRightInd/>
        <w:snapToGrid/>
        <w:spacing w:line="240" w:lineRule="auto"/>
        <w:ind w:left="0" w:leftChars="0" w:right="70" w:firstLine="480" w:firstLineChars="200"/>
        <w:jc w:val="both"/>
        <w:textAlignment w:val="auto"/>
        <w:rPr>
          <w:rFonts w:hint="eastAsia" w:ascii="宋体" w:hAnsi="宋体"/>
          <w:snapToGrid w:val="0"/>
          <w:color w:val="auto"/>
          <w:kern w:val="0"/>
          <w:sz w:val="24"/>
          <w:szCs w:val="24"/>
        </w:rPr>
      </w:pPr>
      <w:r>
        <w:rPr>
          <w:rFonts w:hint="eastAsia" w:ascii="宋体" w:hAnsi="宋体"/>
          <w:snapToGrid w:val="0"/>
          <w:color w:val="auto"/>
          <w:kern w:val="0"/>
          <w:sz w:val="24"/>
          <w:szCs w:val="24"/>
        </w:rPr>
        <w:t>3.1.1评标委员会可以要求投标人提交第二章“投标人须知”第3.5.1项至第3.5.5项规定的有关证明和证件的原件，以便核验。评标委员会依据本章第2.1款规定的标准对投标文件(即商务文件)进行初步评审。有一项不符合评审标准的，作废标处理。</w:t>
      </w:r>
    </w:p>
    <w:p>
      <w:pPr>
        <w:snapToGrid w:val="0"/>
        <w:spacing w:line="400" w:lineRule="exact"/>
        <w:ind w:firstLine="480" w:firstLineChars="200"/>
        <w:rPr>
          <w:rFonts w:ascii="宋体" w:hAnsi="宋体"/>
          <w:snapToGrid w:val="0"/>
          <w:color w:val="auto"/>
          <w:kern w:val="0"/>
          <w:sz w:val="24"/>
          <w:szCs w:val="24"/>
        </w:rPr>
      </w:pPr>
      <w:r>
        <w:rPr>
          <w:rFonts w:ascii="宋体" w:hAnsi="宋体"/>
          <w:snapToGrid w:val="0"/>
          <w:color w:val="auto"/>
          <w:kern w:val="0"/>
          <w:sz w:val="24"/>
          <w:szCs w:val="24"/>
        </w:rPr>
        <w:t>3.1.2 投标人有以下情形之一的，其投标作废标处理：</w:t>
      </w:r>
    </w:p>
    <w:p>
      <w:pPr>
        <w:snapToGrid w:val="0"/>
        <w:spacing w:line="400" w:lineRule="exact"/>
        <w:ind w:firstLine="480" w:firstLineChars="200"/>
        <w:rPr>
          <w:rFonts w:ascii="宋体" w:hAnsi="宋体"/>
          <w:snapToGrid w:val="0"/>
          <w:color w:val="auto"/>
          <w:kern w:val="0"/>
          <w:sz w:val="24"/>
          <w:szCs w:val="24"/>
        </w:rPr>
      </w:pPr>
      <w:r>
        <w:rPr>
          <w:rFonts w:ascii="宋体" w:hAnsi="宋体"/>
          <w:snapToGrid w:val="0"/>
          <w:color w:val="auto"/>
          <w:kern w:val="0"/>
          <w:sz w:val="24"/>
          <w:szCs w:val="24"/>
        </w:rPr>
        <w:t>（1）第二章</w:t>
      </w:r>
      <w:r>
        <w:rPr>
          <w:rFonts w:hint="eastAsia" w:ascii="宋体" w:hAnsi="宋体"/>
          <w:snapToGrid w:val="0"/>
          <w:color w:val="auto"/>
          <w:kern w:val="0"/>
          <w:sz w:val="24"/>
          <w:szCs w:val="24"/>
        </w:rPr>
        <w:t>“</w:t>
      </w:r>
      <w:r>
        <w:rPr>
          <w:rFonts w:ascii="宋体" w:hAnsi="宋体"/>
          <w:snapToGrid w:val="0"/>
          <w:color w:val="auto"/>
          <w:kern w:val="0"/>
          <w:sz w:val="24"/>
          <w:szCs w:val="24"/>
        </w:rPr>
        <w:t>投标人须知</w:t>
      </w:r>
      <w:r>
        <w:rPr>
          <w:rFonts w:hint="eastAsia" w:ascii="宋体" w:hAnsi="宋体"/>
          <w:snapToGrid w:val="0"/>
          <w:color w:val="auto"/>
          <w:kern w:val="0"/>
          <w:sz w:val="24"/>
          <w:szCs w:val="24"/>
        </w:rPr>
        <w:t>”</w:t>
      </w:r>
      <w:r>
        <w:rPr>
          <w:rFonts w:ascii="宋体" w:hAnsi="宋体"/>
          <w:snapToGrid w:val="0"/>
          <w:color w:val="auto"/>
          <w:kern w:val="0"/>
          <w:sz w:val="24"/>
          <w:szCs w:val="24"/>
        </w:rPr>
        <w:t>第1.4.3项规定的任何一种情形的；</w:t>
      </w:r>
    </w:p>
    <w:p>
      <w:pPr>
        <w:snapToGrid w:val="0"/>
        <w:spacing w:line="400" w:lineRule="exact"/>
        <w:ind w:firstLine="480" w:firstLineChars="200"/>
        <w:rPr>
          <w:rFonts w:ascii="宋体" w:hAnsi="宋体"/>
          <w:snapToGrid w:val="0"/>
          <w:color w:val="auto"/>
          <w:kern w:val="0"/>
          <w:sz w:val="24"/>
          <w:szCs w:val="24"/>
        </w:rPr>
      </w:pPr>
      <w:r>
        <w:rPr>
          <w:rFonts w:ascii="宋体" w:hAnsi="宋体"/>
          <w:snapToGrid w:val="0"/>
          <w:color w:val="auto"/>
          <w:kern w:val="0"/>
          <w:sz w:val="24"/>
          <w:szCs w:val="24"/>
        </w:rPr>
        <w:t>（2）串通投标或弄虚作假或有其他违法行为的；</w:t>
      </w:r>
    </w:p>
    <w:p>
      <w:pPr>
        <w:snapToGrid w:val="0"/>
        <w:spacing w:line="400" w:lineRule="exact"/>
        <w:ind w:firstLine="480" w:firstLineChars="200"/>
        <w:rPr>
          <w:rFonts w:hint="eastAsia" w:ascii="宋体" w:hAnsi="宋体"/>
          <w:snapToGrid w:val="0"/>
          <w:color w:val="auto"/>
          <w:kern w:val="0"/>
          <w:sz w:val="24"/>
          <w:szCs w:val="24"/>
        </w:rPr>
      </w:pPr>
      <w:r>
        <w:rPr>
          <w:rFonts w:ascii="宋体" w:hAnsi="宋体"/>
          <w:snapToGrid w:val="0"/>
          <w:color w:val="auto"/>
          <w:kern w:val="0"/>
          <w:sz w:val="24"/>
          <w:szCs w:val="24"/>
        </w:rPr>
        <w:t>（3）不按评标委员会要求澄清、说明或补正的。</w:t>
      </w:r>
    </w:p>
    <w:p>
      <w:pPr>
        <w:spacing w:line="400" w:lineRule="exact"/>
        <w:ind w:firstLine="480" w:firstLineChars="200"/>
        <w:rPr>
          <w:rFonts w:ascii="宋体" w:hAnsi="宋体"/>
          <w:color w:val="auto"/>
          <w:sz w:val="24"/>
          <w:szCs w:val="24"/>
        </w:rPr>
      </w:pPr>
      <w:r>
        <w:rPr>
          <w:rFonts w:ascii="宋体" w:hAnsi="宋体"/>
          <w:color w:val="auto"/>
          <w:sz w:val="24"/>
          <w:szCs w:val="24"/>
        </w:rPr>
        <w:t>3.1.3投标报价有算术错误的，评标委员会按以下原则对投标报价进行修正，修正的价格经投标人书面确认后具有约束力。投标人不接受修正价格的，其投标作废标处理</w:t>
      </w:r>
      <w:r>
        <w:rPr>
          <w:rFonts w:hint="eastAsia" w:ascii="宋体" w:hAnsi="宋体"/>
          <w:color w:val="auto"/>
          <w:sz w:val="24"/>
          <w:szCs w:val="24"/>
        </w:rPr>
        <w:t>，并没收其投标担保。</w:t>
      </w:r>
    </w:p>
    <w:p>
      <w:pPr>
        <w:snapToGrid w:val="0"/>
        <w:spacing w:line="400" w:lineRule="exact"/>
        <w:ind w:firstLine="480" w:firstLineChars="200"/>
        <w:rPr>
          <w:rFonts w:hint="eastAsia" w:ascii="宋体" w:hAnsi="宋体"/>
          <w:snapToGrid w:val="0"/>
          <w:color w:val="auto"/>
          <w:kern w:val="0"/>
          <w:sz w:val="24"/>
          <w:szCs w:val="24"/>
        </w:rPr>
      </w:pPr>
      <w:r>
        <w:rPr>
          <w:rFonts w:ascii="宋体" w:hAnsi="宋体"/>
          <w:color w:val="auto"/>
          <w:sz w:val="24"/>
          <w:szCs w:val="24"/>
        </w:rPr>
        <w:t>（1）投标文件中的大写金额与小写金额不一致的，以大写金额为准；</w:t>
      </w:r>
    </w:p>
    <w:p>
      <w:pPr>
        <w:snapToGrid w:val="0"/>
        <w:spacing w:line="400" w:lineRule="exact"/>
        <w:ind w:firstLine="480" w:firstLineChars="200"/>
        <w:rPr>
          <w:rFonts w:hint="eastAsia" w:ascii="宋体" w:hAnsi="宋体"/>
          <w:snapToGrid w:val="0"/>
          <w:color w:val="auto"/>
          <w:kern w:val="0"/>
          <w:sz w:val="24"/>
          <w:szCs w:val="24"/>
        </w:rPr>
      </w:pPr>
      <w:r>
        <w:rPr>
          <w:rFonts w:ascii="宋体" w:hAnsi="宋体"/>
          <w:color w:val="auto"/>
          <w:sz w:val="24"/>
          <w:szCs w:val="24"/>
        </w:rPr>
        <w:t>（</w:t>
      </w:r>
      <w:r>
        <w:rPr>
          <w:rFonts w:hint="eastAsia" w:ascii="宋体" w:hAnsi="宋体"/>
          <w:color w:val="auto"/>
          <w:sz w:val="24"/>
          <w:szCs w:val="24"/>
        </w:rPr>
        <w:t>2</w:t>
      </w:r>
      <w:r>
        <w:rPr>
          <w:rFonts w:ascii="宋体" w:hAnsi="宋体"/>
          <w:color w:val="auto"/>
          <w:sz w:val="24"/>
          <w:szCs w:val="24"/>
        </w:rPr>
        <w:t>）</w:t>
      </w:r>
      <w:r>
        <w:rPr>
          <w:rFonts w:hint="eastAsia" w:ascii="宋体" w:hAnsi="宋体"/>
          <w:snapToGrid w:val="0"/>
          <w:color w:val="auto"/>
          <w:kern w:val="0"/>
          <w:sz w:val="24"/>
          <w:szCs w:val="24"/>
        </w:rPr>
        <w:t>总价金额与依据单价计算出的结果不一致的，在保证投标总价不变的前提下予以合理调整单价。</w:t>
      </w:r>
    </w:p>
    <w:p>
      <w:pPr>
        <w:snapToGrid w:val="0"/>
        <w:spacing w:line="400" w:lineRule="exact"/>
        <w:ind w:firstLine="480" w:firstLineChars="200"/>
        <w:rPr>
          <w:rFonts w:hint="eastAsia" w:ascii="宋体" w:hAnsi="宋体"/>
          <w:snapToGrid w:val="0"/>
          <w:color w:val="auto"/>
          <w:kern w:val="0"/>
          <w:sz w:val="24"/>
          <w:szCs w:val="24"/>
        </w:rPr>
      </w:pPr>
      <w:r>
        <w:rPr>
          <w:rFonts w:ascii="宋体" w:hAnsi="宋体"/>
          <w:color w:val="auto"/>
          <w:sz w:val="24"/>
          <w:szCs w:val="24"/>
        </w:rPr>
        <w:t>（</w:t>
      </w:r>
      <w:r>
        <w:rPr>
          <w:rFonts w:hint="eastAsia" w:ascii="宋体" w:hAnsi="宋体"/>
          <w:color w:val="auto"/>
          <w:sz w:val="24"/>
          <w:szCs w:val="24"/>
        </w:rPr>
        <w:t>3</w:t>
      </w:r>
      <w:r>
        <w:rPr>
          <w:rFonts w:ascii="宋体" w:hAnsi="宋体"/>
          <w:color w:val="auto"/>
          <w:sz w:val="24"/>
          <w:szCs w:val="24"/>
        </w:rPr>
        <w:t>）</w:t>
      </w:r>
      <w:r>
        <w:rPr>
          <w:rFonts w:hint="eastAsia" w:ascii="宋体" w:hAnsi="宋体"/>
          <w:snapToGrid w:val="0"/>
          <w:color w:val="auto"/>
          <w:kern w:val="0"/>
          <w:sz w:val="24"/>
          <w:szCs w:val="24"/>
        </w:rPr>
        <w:t xml:space="preserve">当单价与数量相乘不等于合价时，应以标出的合价为准，同时对单价予以修正； </w:t>
      </w:r>
    </w:p>
    <w:p>
      <w:pPr>
        <w:snapToGrid w:val="0"/>
        <w:spacing w:line="400" w:lineRule="exact"/>
        <w:ind w:firstLine="480" w:firstLineChars="200"/>
        <w:rPr>
          <w:rFonts w:hint="eastAsia" w:ascii="宋体" w:hAnsi="宋体"/>
          <w:snapToGrid w:val="0"/>
          <w:color w:val="auto"/>
          <w:kern w:val="0"/>
          <w:sz w:val="24"/>
          <w:szCs w:val="24"/>
        </w:rPr>
      </w:pPr>
      <w:r>
        <w:rPr>
          <w:rFonts w:ascii="宋体" w:hAnsi="宋体"/>
          <w:color w:val="auto"/>
          <w:sz w:val="24"/>
          <w:szCs w:val="24"/>
        </w:rPr>
        <w:t>（</w:t>
      </w:r>
      <w:r>
        <w:rPr>
          <w:rFonts w:hint="eastAsia" w:ascii="宋体" w:hAnsi="宋体"/>
          <w:color w:val="auto"/>
          <w:sz w:val="24"/>
          <w:szCs w:val="24"/>
        </w:rPr>
        <w:t>4</w:t>
      </w:r>
      <w:r>
        <w:rPr>
          <w:rFonts w:ascii="宋体" w:hAnsi="宋体"/>
          <w:color w:val="auto"/>
          <w:sz w:val="24"/>
          <w:szCs w:val="24"/>
        </w:rPr>
        <w:t>）</w:t>
      </w:r>
      <w:r>
        <w:rPr>
          <w:rFonts w:hint="eastAsia" w:ascii="宋体" w:hAnsi="宋体"/>
          <w:snapToGrid w:val="0"/>
          <w:color w:val="auto"/>
          <w:kern w:val="0"/>
          <w:sz w:val="24"/>
          <w:szCs w:val="24"/>
        </w:rPr>
        <w:t xml:space="preserve">当各子目的合价累计不等于总价时，应以总价不变的前提下，修正各子目合价。 </w:t>
      </w:r>
    </w:p>
    <w:p>
      <w:pPr>
        <w:snapToGrid w:val="0"/>
        <w:spacing w:line="400" w:lineRule="exact"/>
        <w:ind w:firstLine="480" w:firstLineChars="200"/>
        <w:rPr>
          <w:rFonts w:hint="eastAsia" w:ascii="宋体" w:hAnsi="宋体"/>
          <w:snapToGrid w:val="0"/>
          <w:color w:val="auto"/>
          <w:kern w:val="0"/>
          <w:sz w:val="24"/>
          <w:szCs w:val="24"/>
        </w:rPr>
      </w:pPr>
      <w:r>
        <w:rPr>
          <w:rFonts w:hint="eastAsia" w:ascii="宋体" w:hAnsi="宋体"/>
          <w:snapToGrid w:val="0"/>
          <w:color w:val="auto"/>
          <w:kern w:val="0"/>
          <w:sz w:val="24"/>
          <w:szCs w:val="24"/>
        </w:rPr>
        <w:t>如采用固化工程量清单报价，3.1.3～3.1.6 条款不适用。</w:t>
      </w:r>
    </w:p>
    <w:p>
      <w:pPr>
        <w:spacing w:line="400" w:lineRule="exact"/>
        <w:ind w:firstLine="480" w:firstLineChars="200"/>
        <w:rPr>
          <w:rFonts w:hint="eastAsia" w:ascii="宋体" w:hAnsi="宋体"/>
          <w:color w:val="auto"/>
          <w:sz w:val="24"/>
          <w:szCs w:val="24"/>
        </w:rPr>
      </w:pPr>
      <w:r>
        <w:rPr>
          <w:rFonts w:hint="eastAsia" w:ascii="宋体" w:hAnsi="宋体"/>
          <w:color w:val="auto"/>
          <w:sz w:val="24"/>
          <w:szCs w:val="24"/>
        </w:rPr>
        <w:t>3.1.4 工程量清单中的投标报价有其他错误的，评标委员会按以下原则对投标报价进行修正，修正的价格经投标人书面确认后具有约束力。投标人不接受修正价格的，其投标作废标处理，并没收其投标担保。</w:t>
      </w:r>
    </w:p>
    <w:p>
      <w:pPr>
        <w:spacing w:line="400" w:lineRule="exact"/>
        <w:ind w:firstLine="480" w:firstLineChars="200"/>
        <w:rPr>
          <w:rFonts w:hint="eastAsia" w:ascii="宋体" w:hAnsi="宋体"/>
          <w:color w:val="auto"/>
          <w:sz w:val="24"/>
          <w:szCs w:val="24"/>
        </w:rPr>
      </w:pPr>
      <w:r>
        <w:rPr>
          <w:rFonts w:hint="eastAsia" w:ascii="宋体" w:hAnsi="宋体"/>
          <w:color w:val="auto"/>
          <w:sz w:val="24"/>
          <w:szCs w:val="24"/>
        </w:rPr>
        <w:t>（1）在招标人给定的工程量清单中漏报了某个工程子目的单价、合价或总额价，或所报单价、合价或总额价减少了报价范围，则漏报的工程子目单价、合价和总额价或单价、合价和总额价中减少的报价内容视为已含入其他工程子目的单价、合价和总额价之中。</w:t>
      </w:r>
    </w:p>
    <w:p>
      <w:pPr>
        <w:snapToGrid w:val="0"/>
        <w:spacing w:line="400" w:lineRule="exact"/>
        <w:ind w:firstLine="480" w:firstLineChars="200"/>
        <w:rPr>
          <w:rFonts w:hint="eastAsia" w:ascii="宋体" w:hAnsi="宋体"/>
          <w:color w:val="auto"/>
          <w:sz w:val="24"/>
          <w:szCs w:val="24"/>
        </w:rPr>
      </w:pPr>
      <w:r>
        <w:rPr>
          <w:rFonts w:hint="eastAsia" w:ascii="宋体" w:hAnsi="宋体"/>
          <w:color w:val="auto"/>
          <w:sz w:val="24"/>
          <w:szCs w:val="24"/>
        </w:rPr>
        <w:t>（2）在招标人给定的工程量清单中多报了某个工程子目的单价、合价或总额价，或所报单价、合价或总额价增加了报价范围，则从投标报价中扣除多报的工程子目报价或工程子目报价中增加了报价范围的部分报价。</w:t>
      </w:r>
    </w:p>
    <w:p>
      <w:pPr>
        <w:spacing w:line="400" w:lineRule="exact"/>
        <w:ind w:firstLine="480" w:firstLineChars="200"/>
        <w:rPr>
          <w:rFonts w:hint="eastAsia" w:ascii="宋体" w:hAnsi="宋体"/>
          <w:color w:val="auto"/>
          <w:sz w:val="24"/>
          <w:szCs w:val="24"/>
        </w:rPr>
      </w:pPr>
      <w:r>
        <w:rPr>
          <w:rFonts w:hint="eastAsia" w:ascii="宋体" w:hAnsi="宋体"/>
          <w:color w:val="auto"/>
          <w:sz w:val="24"/>
          <w:szCs w:val="24"/>
        </w:rPr>
        <w:t>（3）当单价与数量的乘积与合价（金额）虽然一致，但投标人修改了该子目的工程数量，则其合价按招标人给定的工程数量乘以投标人所报单价予以修正。</w:t>
      </w:r>
    </w:p>
    <w:p>
      <w:pPr>
        <w:spacing w:line="400" w:lineRule="exact"/>
        <w:ind w:firstLine="480" w:firstLineChars="200"/>
        <w:rPr>
          <w:rFonts w:hint="eastAsia" w:ascii="宋体" w:hAnsi="宋体"/>
          <w:color w:val="auto"/>
          <w:sz w:val="24"/>
          <w:szCs w:val="24"/>
        </w:rPr>
      </w:pPr>
      <w:r>
        <w:rPr>
          <w:rFonts w:hint="eastAsia" w:ascii="宋体" w:hAnsi="宋体"/>
          <w:color w:val="auto"/>
          <w:sz w:val="24"/>
          <w:szCs w:val="24"/>
        </w:rPr>
        <w:t>3.1.5 修正后的最终投标报价若超过投标控制价上限，投标人的投标文件作废标处理。</w:t>
      </w:r>
    </w:p>
    <w:p>
      <w:pPr>
        <w:snapToGrid w:val="0"/>
        <w:spacing w:line="400" w:lineRule="exact"/>
        <w:ind w:firstLine="480" w:firstLineChars="200"/>
        <w:rPr>
          <w:rFonts w:ascii="宋体" w:hAnsi="宋体"/>
          <w:snapToGrid w:val="0"/>
          <w:color w:val="auto"/>
          <w:kern w:val="0"/>
          <w:sz w:val="24"/>
          <w:szCs w:val="24"/>
        </w:rPr>
      </w:pPr>
      <w:r>
        <w:rPr>
          <w:rFonts w:hint="eastAsia" w:ascii="宋体" w:hAnsi="宋体"/>
          <w:color w:val="auto"/>
          <w:sz w:val="24"/>
          <w:szCs w:val="24"/>
        </w:rPr>
        <w:t>3.1.6 修正后的最终投标报价仅作为签订合同的一个依据，不参与评标价得分的计算。</w:t>
      </w:r>
    </w:p>
    <w:p>
      <w:pPr>
        <w:spacing w:line="400" w:lineRule="exact"/>
        <w:outlineLvl w:val="0"/>
        <w:rPr>
          <w:rFonts w:ascii="宋体" w:hAnsi="宋体"/>
          <w:b/>
          <w:snapToGrid w:val="0"/>
          <w:color w:val="auto"/>
          <w:kern w:val="0"/>
          <w:sz w:val="24"/>
          <w:szCs w:val="24"/>
        </w:rPr>
      </w:pPr>
      <w:bookmarkStart w:id="22" w:name="_Toc152045595"/>
      <w:bookmarkStart w:id="23" w:name="_Toc179632613"/>
      <w:bookmarkStart w:id="24" w:name="_Toc8736"/>
      <w:bookmarkStart w:id="25" w:name="_Toc144974562"/>
      <w:bookmarkStart w:id="26" w:name="_Toc152042372"/>
    </w:p>
    <w:p>
      <w:pPr>
        <w:spacing w:line="400" w:lineRule="exact"/>
        <w:outlineLvl w:val="0"/>
        <w:rPr>
          <w:rFonts w:ascii="宋体" w:hAnsi="宋体"/>
          <w:b/>
          <w:snapToGrid w:val="0"/>
          <w:color w:val="auto"/>
          <w:kern w:val="0"/>
          <w:sz w:val="24"/>
          <w:szCs w:val="24"/>
        </w:rPr>
      </w:pPr>
      <w:r>
        <w:rPr>
          <w:rFonts w:ascii="宋体" w:hAnsi="宋体"/>
          <w:b/>
          <w:snapToGrid w:val="0"/>
          <w:color w:val="auto"/>
          <w:kern w:val="0"/>
          <w:sz w:val="24"/>
          <w:szCs w:val="24"/>
        </w:rPr>
        <w:t>3.2 详细评审</w:t>
      </w:r>
      <w:bookmarkEnd w:id="22"/>
      <w:bookmarkEnd w:id="23"/>
      <w:bookmarkEnd w:id="24"/>
      <w:bookmarkEnd w:id="25"/>
      <w:bookmarkEnd w:id="26"/>
      <w:r>
        <w:rPr>
          <w:rFonts w:hint="eastAsia" w:ascii="宋体" w:hAnsi="宋体"/>
          <w:b/>
          <w:snapToGrid w:val="0"/>
          <w:color w:val="auto"/>
          <w:kern w:val="0"/>
          <w:sz w:val="24"/>
          <w:szCs w:val="24"/>
        </w:rPr>
        <w:t xml:space="preserve"> </w:t>
      </w:r>
    </w:p>
    <w:p>
      <w:pPr>
        <w:spacing w:line="400" w:lineRule="exact"/>
        <w:ind w:firstLine="480" w:firstLineChars="200"/>
        <w:rPr>
          <w:rFonts w:hint="eastAsia" w:ascii="宋体" w:hAnsi="宋体"/>
          <w:snapToGrid w:val="0"/>
          <w:color w:val="auto"/>
          <w:kern w:val="0"/>
          <w:sz w:val="24"/>
          <w:szCs w:val="24"/>
        </w:rPr>
      </w:pPr>
      <w:bookmarkStart w:id="27" w:name="_Toc144974563"/>
      <w:bookmarkStart w:id="28" w:name="_Toc152042373"/>
      <w:bookmarkStart w:id="29" w:name="_Toc152045596"/>
      <w:bookmarkStart w:id="30" w:name="_Toc179632614"/>
      <w:bookmarkStart w:id="31" w:name="_Toc18422"/>
      <w:r>
        <w:rPr>
          <w:rFonts w:ascii="宋体" w:hAnsi="宋体"/>
          <w:snapToGrid w:val="0"/>
          <w:color w:val="auto"/>
          <w:kern w:val="0"/>
          <w:sz w:val="24"/>
          <w:szCs w:val="24"/>
        </w:rPr>
        <w:t>3.2.1评标委员会按本章第2.2款规定的量化因素和</w:t>
      </w:r>
      <w:r>
        <w:rPr>
          <w:rFonts w:hint="eastAsia" w:ascii="宋体" w:hAnsi="宋体"/>
          <w:snapToGrid w:val="0"/>
          <w:color w:val="auto"/>
          <w:kern w:val="0"/>
          <w:sz w:val="24"/>
          <w:szCs w:val="24"/>
        </w:rPr>
        <w:t>分值</w:t>
      </w:r>
      <w:r>
        <w:rPr>
          <w:rFonts w:ascii="宋体" w:hAnsi="宋体"/>
          <w:snapToGrid w:val="0"/>
          <w:color w:val="auto"/>
          <w:kern w:val="0"/>
          <w:sz w:val="24"/>
          <w:szCs w:val="24"/>
        </w:rPr>
        <w:t>进行</w:t>
      </w:r>
      <w:r>
        <w:rPr>
          <w:rFonts w:hint="eastAsia" w:ascii="宋体" w:hAnsi="宋体"/>
          <w:snapToGrid w:val="0"/>
          <w:color w:val="auto"/>
          <w:kern w:val="0"/>
          <w:sz w:val="24"/>
          <w:szCs w:val="24"/>
        </w:rPr>
        <w:t>打分</w:t>
      </w:r>
      <w:r>
        <w:rPr>
          <w:rFonts w:ascii="宋体" w:hAnsi="宋体"/>
          <w:snapToGrid w:val="0"/>
          <w:color w:val="auto"/>
          <w:kern w:val="0"/>
          <w:sz w:val="24"/>
          <w:szCs w:val="24"/>
        </w:rPr>
        <w:t>，</w:t>
      </w:r>
      <w:r>
        <w:rPr>
          <w:rFonts w:hint="eastAsia" w:ascii="宋体" w:hAnsi="宋体"/>
          <w:snapToGrid w:val="0"/>
          <w:color w:val="auto"/>
          <w:kern w:val="0"/>
          <w:sz w:val="24"/>
          <w:szCs w:val="24"/>
        </w:rPr>
        <w:t>并</w:t>
      </w:r>
      <w:r>
        <w:rPr>
          <w:rFonts w:ascii="宋体" w:hAnsi="宋体"/>
          <w:snapToGrid w:val="0"/>
          <w:color w:val="auto"/>
          <w:kern w:val="0"/>
          <w:sz w:val="24"/>
          <w:szCs w:val="24"/>
        </w:rPr>
        <w:t>计算出</w:t>
      </w:r>
      <w:r>
        <w:rPr>
          <w:rFonts w:hint="eastAsia" w:ascii="宋体" w:hAnsi="宋体"/>
          <w:snapToGrid w:val="0"/>
          <w:color w:val="auto"/>
          <w:kern w:val="0"/>
          <w:sz w:val="24"/>
          <w:szCs w:val="24"/>
        </w:rPr>
        <w:t>综合评估得分</w:t>
      </w:r>
      <w:r>
        <w:rPr>
          <w:rFonts w:ascii="宋体" w:hAnsi="宋体"/>
          <w:snapToGrid w:val="0"/>
          <w:color w:val="auto"/>
          <w:kern w:val="0"/>
          <w:sz w:val="24"/>
          <w:szCs w:val="24"/>
        </w:rPr>
        <w:t>。</w:t>
      </w:r>
    </w:p>
    <w:p>
      <w:pPr>
        <w:spacing w:line="400" w:lineRule="exact"/>
        <w:ind w:firstLine="480" w:firstLineChars="200"/>
        <w:rPr>
          <w:rFonts w:hint="eastAsia" w:ascii="宋体" w:hAnsi="宋体"/>
          <w:snapToGrid w:val="0"/>
          <w:color w:val="auto"/>
          <w:kern w:val="0"/>
          <w:sz w:val="24"/>
          <w:szCs w:val="24"/>
        </w:rPr>
      </w:pPr>
      <w:r>
        <w:rPr>
          <w:rFonts w:hint="eastAsia" w:ascii="宋体" w:hAnsi="宋体"/>
          <w:snapToGrid w:val="0"/>
          <w:color w:val="auto"/>
          <w:kern w:val="0"/>
          <w:sz w:val="24"/>
          <w:szCs w:val="24"/>
        </w:rPr>
        <w:t>（1）</w:t>
      </w:r>
      <w:r>
        <w:rPr>
          <w:rFonts w:hint="eastAsia" w:ascii="宋体" w:hAnsi="宋体"/>
          <w:color w:val="auto"/>
          <w:sz w:val="24"/>
          <w:szCs w:val="24"/>
        </w:rPr>
        <w:t>按本章第2.2.4（3）目规定的评审因素和分值对投标报价计算出得分C</w:t>
      </w:r>
      <w:r>
        <w:rPr>
          <w:rFonts w:hint="eastAsia" w:ascii="宋体" w:hAnsi="宋体"/>
          <w:snapToGrid w:val="0"/>
          <w:color w:val="auto"/>
          <w:kern w:val="0"/>
          <w:sz w:val="24"/>
          <w:szCs w:val="24"/>
        </w:rPr>
        <w:t>；</w:t>
      </w:r>
    </w:p>
    <w:p>
      <w:pPr>
        <w:spacing w:line="400" w:lineRule="exact"/>
        <w:ind w:firstLine="480" w:firstLineChars="200"/>
        <w:rPr>
          <w:rFonts w:hint="eastAsia" w:ascii="宋体" w:hAnsi="宋体"/>
          <w:snapToGrid w:val="0"/>
          <w:color w:val="auto"/>
          <w:kern w:val="0"/>
          <w:sz w:val="24"/>
          <w:szCs w:val="24"/>
        </w:rPr>
      </w:pPr>
      <w:r>
        <w:rPr>
          <w:rFonts w:hint="eastAsia" w:ascii="宋体" w:hAnsi="宋体"/>
          <w:snapToGrid w:val="0"/>
          <w:color w:val="auto"/>
          <w:kern w:val="0"/>
          <w:sz w:val="24"/>
          <w:szCs w:val="24"/>
        </w:rPr>
        <w:t>（2）</w:t>
      </w:r>
      <w:r>
        <w:rPr>
          <w:rFonts w:hint="eastAsia" w:ascii="宋体" w:hAnsi="宋体"/>
          <w:color w:val="auto"/>
          <w:sz w:val="24"/>
          <w:szCs w:val="24"/>
        </w:rPr>
        <w:t>按本章第2.2.4（4）目规定的评审因素和分值对其他部分计算出得分D。</w:t>
      </w:r>
    </w:p>
    <w:p>
      <w:pPr>
        <w:autoSpaceDE w:val="0"/>
        <w:autoSpaceDN w:val="0"/>
        <w:adjustRightInd w:val="0"/>
        <w:spacing w:before="37" w:line="360" w:lineRule="exact"/>
        <w:ind w:right="33" w:firstLine="360" w:firstLineChars="150"/>
        <w:jc w:val="left"/>
        <w:rPr>
          <w:rFonts w:hint="eastAsia" w:ascii="宋体" w:hAnsi="宋体"/>
          <w:snapToGrid w:val="0"/>
          <w:color w:val="auto"/>
          <w:kern w:val="0"/>
          <w:sz w:val="24"/>
          <w:szCs w:val="24"/>
        </w:rPr>
      </w:pPr>
      <w:r>
        <w:rPr>
          <w:rFonts w:hint="eastAsia" w:ascii="宋体" w:hAnsi="宋体"/>
          <w:snapToGrid w:val="0"/>
          <w:color w:val="auto"/>
          <w:kern w:val="0"/>
          <w:sz w:val="24"/>
          <w:szCs w:val="24"/>
        </w:rPr>
        <w:t xml:space="preserve">3.2.2 </w:t>
      </w:r>
      <w:r>
        <w:rPr>
          <w:rFonts w:hint="eastAsia" w:ascii="宋体" w:hAnsi="宋体"/>
          <w:color w:val="auto"/>
          <w:sz w:val="24"/>
          <w:szCs w:val="24"/>
        </w:rPr>
        <w:t>评标价得分四舍五入至小数点后四位。</w:t>
      </w:r>
    </w:p>
    <w:p>
      <w:pPr>
        <w:autoSpaceDE w:val="0"/>
        <w:autoSpaceDN w:val="0"/>
        <w:adjustRightInd w:val="0"/>
        <w:spacing w:before="37" w:line="400" w:lineRule="exact"/>
        <w:ind w:right="34" w:firstLine="360" w:firstLineChars="150"/>
        <w:jc w:val="left"/>
        <w:rPr>
          <w:rFonts w:hint="eastAsia" w:ascii="宋体" w:hAnsi="宋体"/>
          <w:snapToGrid w:val="0"/>
          <w:color w:val="auto"/>
          <w:kern w:val="0"/>
          <w:sz w:val="24"/>
          <w:szCs w:val="24"/>
        </w:rPr>
      </w:pPr>
      <w:r>
        <w:rPr>
          <w:rFonts w:hint="eastAsia" w:ascii="宋体" w:hAnsi="宋体"/>
          <w:snapToGrid w:val="0"/>
          <w:color w:val="auto"/>
          <w:kern w:val="0"/>
          <w:sz w:val="24"/>
          <w:szCs w:val="24"/>
        </w:rPr>
        <w:t xml:space="preserve">3.2.3 </w:t>
      </w:r>
      <w:r>
        <w:rPr>
          <w:rFonts w:hint="eastAsia" w:ascii="宋体" w:hAnsi="宋体"/>
          <w:color w:val="auto"/>
          <w:sz w:val="24"/>
          <w:szCs w:val="24"/>
        </w:rPr>
        <w:t>投标人得分=C+D。</w:t>
      </w:r>
    </w:p>
    <w:p>
      <w:pPr>
        <w:autoSpaceDE w:val="0"/>
        <w:autoSpaceDN w:val="0"/>
        <w:adjustRightInd w:val="0"/>
        <w:spacing w:before="37" w:line="400" w:lineRule="exact"/>
        <w:ind w:right="34" w:firstLine="360" w:firstLineChars="150"/>
        <w:jc w:val="left"/>
        <w:rPr>
          <w:rFonts w:hint="eastAsia" w:ascii="宋体" w:hAnsi="宋体"/>
          <w:snapToGrid w:val="0"/>
          <w:color w:val="auto"/>
          <w:kern w:val="0"/>
          <w:sz w:val="24"/>
          <w:szCs w:val="24"/>
        </w:rPr>
      </w:pPr>
      <w:r>
        <w:rPr>
          <w:rFonts w:hint="eastAsia" w:ascii="宋体" w:hAnsi="宋体"/>
          <w:snapToGrid w:val="0"/>
          <w:color w:val="auto"/>
          <w:kern w:val="0"/>
          <w:sz w:val="24"/>
          <w:szCs w:val="24"/>
        </w:rPr>
        <w:t>3.2.4</w:t>
      </w:r>
      <w:r>
        <w:rPr>
          <w:rFonts w:hint="eastAsia" w:ascii="宋体" w:hAnsi="宋体"/>
          <w:color w:val="auto"/>
          <w:sz w:val="24"/>
          <w:szCs w:val="24"/>
        </w:rPr>
        <w:t>评标委员会发现投标人的报价明显低于其他投标报价，或者在设有标底时明显低于标底，使得其投标报价可能低于其个别成本的，应当要求该投标人作出书面说明并提供相应的证明材料。投标人不能合理说明或者不能提供相应证明材料的，由评标委员会认定该投标人以低于成本报价竞标，其投标作废标处理。</w:t>
      </w:r>
    </w:p>
    <w:p>
      <w:pPr>
        <w:spacing w:line="400" w:lineRule="exact"/>
        <w:outlineLvl w:val="0"/>
        <w:rPr>
          <w:rFonts w:hint="eastAsia" w:ascii="宋体" w:hAnsi="宋体"/>
          <w:b/>
          <w:snapToGrid w:val="0"/>
          <w:color w:val="auto"/>
          <w:kern w:val="0"/>
          <w:sz w:val="24"/>
          <w:szCs w:val="24"/>
        </w:rPr>
      </w:pPr>
      <w:r>
        <w:rPr>
          <w:rFonts w:ascii="宋体" w:hAnsi="宋体"/>
          <w:b/>
          <w:snapToGrid w:val="0"/>
          <w:color w:val="auto"/>
          <w:kern w:val="0"/>
          <w:sz w:val="24"/>
          <w:szCs w:val="24"/>
        </w:rPr>
        <w:t>3.3 投标文件的澄清</w:t>
      </w:r>
      <w:bookmarkEnd w:id="27"/>
      <w:r>
        <w:rPr>
          <w:rFonts w:ascii="宋体" w:hAnsi="宋体"/>
          <w:b/>
          <w:snapToGrid w:val="0"/>
          <w:color w:val="auto"/>
          <w:kern w:val="0"/>
          <w:sz w:val="24"/>
          <w:szCs w:val="24"/>
        </w:rPr>
        <w:t>和补正</w:t>
      </w:r>
      <w:bookmarkEnd w:id="28"/>
      <w:bookmarkEnd w:id="29"/>
      <w:bookmarkEnd w:id="30"/>
      <w:bookmarkEnd w:id="31"/>
    </w:p>
    <w:p>
      <w:pPr>
        <w:spacing w:line="400" w:lineRule="exact"/>
        <w:ind w:firstLine="480" w:firstLineChars="200"/>
        <w:rPr>
          <w:rFonts w:hint="eastAsia" w:ascii="宋体" w:hAnsi="宋体" w:cs="宋体"/>
          <w:color w:val="auto"/>
          <w:kern w:val="0"/>
          <w:sz w:val="24"/>
          <w:szCs w:val="24"/>
        </w:rPr>
      </w:pPr>
      <w:r>
        <w:rPr>
          <w:rFonts w:hint="eastAsia" w:ascii="宋体" w:hAnsi="宋体"/>
          <w:snapToGrid w:val="0"/>
          <w:color w:val="auto"/>
          <w:kern w:val="0"/>
          <w:sz w:val="24"/>
          <w:szCs w:val="24"/>
        </w:rPr>
        <w:t>3.3.1</w:t>
      </w:r>
      <w:r>
        <w:rPr>
          <w:rFonts w:hint="eastAsia" w:ascii="宋体" w:hAnsi="宋体" w:cs="宋体"/>
          <w:color w:val="auto"/>
          <w:kern w:val="0"/>
          <w:sz w:val="24"/>
          <w:szCs w:val="24"/>
        </w:rPr>
        <w:t>在评标过程中，评标委员会可以书面形式要求投标人对所提交投标文件中不明确的内容、明显文字或者计算错误进行书面澄清或说明。评标委员会不接受投标人主动提出的澄清、说明。</w:t>
      </w:r>
    </w:p>
    <w:p>
      <w:pPr>
        <w:spacing w:line="400" w:lineRule="exact"/>
        <w:rPr>
          <w:rFonts w:hint="eastAsia" w:ascii="宋体" w:hAnsi="宋体" w:cs="宋体"/>
          <w:color w:val="auto"/>
          <w:kern w:val="0"/>
          <w:sz w:val="24"/>
          <w:szCs w:val="24"/>
        </w:rPr>
      </w:pPr>
      <w:r>
        <w:rPr>
          <w:rFonts w:hint="eastAsia" w:ascii="宋体" w:hAnsi="宋体" w:cs="宋体"/>
          <w:color w:val="auto"/>
          <w:kern w:val="0"/>
          <w:sz w:val="24"/>
          <w:szCs w:val="24"/>
        </w:rPr>
        <w:t xml:space="preserve">（1） 投标文件中的下列偏差为细微偏差（采用固化工程量清单，则 a－d步骤省略）：  </w:t>
      </w:r>
    </w:p>
    <w:p>
      <w:pPr>
        <w:spacing w:line="400" w:lineRule="exact"/>
        <w:ind w:firstLine="480" w:firstLineChars="200"/>
        <w:rPr>
          <w:rFonts w:hint="eastAsia" w:ascii="宋体" w:hAnsi="宋体" w:cs="宋体"/>
          <w:color w:val="auto"/>
          <w:kern w:val="0"/>
          <w:sz w:val="24"/>
          <w:szCs w:val="24"/>
        </w:rPr>
      </w:pPr>
      <w:r>
        <w:rPr>
          <w:rFonts w:hint="eastAsia" w:ascii="宋体" w:hAnsi="宋体" w:cs="宋体"/>
          <w:color w:val="auto"/>
          <w:kern w:val="0"/>
          <w:sz w:val="24"/>
          <w:szCs w:val="24"/>
        </w:rPr>
        <w:t xml:space="preserve">a、在算术性复核中发现的算术性差错： </w:t>
      </w:r>
    </w:p>
    <w:p>
      <w:pPr>
        <w:spacing w:line="400" w:lineRule="exact"/>
        <w:ind w:firstLine="480" w:firstLineChars="200"/>
        <w:rPr>
          <w:rFonts w:hint="eastAsia" w:ascii="宋体" w:hAnsi="宋体" w:cs="宋体"/>
          <w:color w:val="auto"/>
          <w:kern w:val="0"/>
          <w:sz w:val="24"/>
          <w:szCs w:val="24"/>
        </w:rPr>
      </w:pPr>
      <w:r>
        <w:rPr>
          <w:rFonts w:hint="eastAsia" w:ascii="宋体" w:hAnsi="宋体" w:cs="宋体"/>
          <w:color w:val="auto"/>
          <w:kern w:val="0"/>
          <w:sz w:val="24"/>
          <w:szCs w:val="24"/>
        </w:rPr>
        <w:t xml:space="preserve">b、在招标人给定的工程量清单中漏报了某个工程细目的单价和合价； </w:t>
      </w:r>
    </w:p>
    <w:p>
      <w:pPr>
        <w:spacing w:line="400" w:lineRule="exact"/>
        <w:ind w:firstLine="480" w:firstLineChars="200"/>
        <w:rPr>
          <w:rFonts w:hint="eastAsia" w:ascii="宋体" w:hAnsi="宋体" w:cs="宋体"/>
          <w:color w:val="auto"/>
          <w:kern w:val="0"/>
          <w:sz w:val="24"/>
          <w:szCs w:val="24"/>
        </w:rPr>
      </w:pPr>
      <w:r>
        <w:rPr>
          <w:rFonts w:hint="eastAsia" w:ascii="宋体" w:hAnsi="宋体" w:cs="宋体"/>
          <w:color w:val="auto"/>
          <w:kern w:val="0"/>
          <w:sz w:val="24"/>
          <w:szCs w:val="24"/>
        </w:rPr>
        <w:t xml:space="preserve">c、在招标人给定的工程量清单中多报了某个工程细目的单价和合价或所报单价增加或减少了报价范围； </w:t>
      </w:r>
    </w:p>
    <w:p>
      <w:pPr>
        <w:spacing w:line="400" w:lineRule="exact"/>
        <w:ind w:firstLine="480" w:firstLineChars="200"/>
        <w:rPr>
          <w:rFonts w:hint="eastAsia" w:ascii="宋体" w:hAnsi="宋体" w:cs="宋体"/>
          <w:color w:val="auto"/>
          <w:kern w:val="0"/>
          <w:sz w:val="24"/>
          <w:szCs w:val="24"/>
        </w:rPr>
      </w:pPr>
      <w:r>
        <w:rPr>
          <w:rFonts w:hint="eastAsia" w:ascii="宋体" w:hAnsi="宋体" w:cs="宋体"/>
          <w:color w:val="auto"/>
          <w:kern w:val="0"/>
          <w:sz w:val="24"/>
          <w:szCs w:val="24"/>
        </w:rPr>
        <w:t xml:space="preserve">d、在招标人给定的工程量清单中修改了某些支付号的工程数量。 </w:t>
      </w:r>
    </w:p>
    <w:p>
      <w:pPr>
        <w:spacing w:line="400" w:lineRule="exact"/>
        <w:rPr>
          <w:rFonts w:hint="eastAsia" w:ascii="宋体" w:hAnsi="宋体" w:cs="宋体"/>
          <w:color w:val="auto"/>
          <w:kern w:val="0"/>
          <w:sz w:val="24"/>
          <w:szCs w:val="24"/>
        </w:rPr>
      </w:pPr>
      <w:r>
        <w:rPr>
          <w:rFonts w:hint="eastAsia" w:ascii="宋体" w:hAnsi="宋体" w:cs="宋体"/>
          <w:color w:val="auto"/>
          <w:kern w:val="0"/>
          <w:sz w:val="24"/>
          <w:szCs w:val="24"/>
        </w:rPr>
        <w:t xml:space="preserve">（2）评标委员会对投标文件中的细微偏差按如下规定处理（采用固化工程量清单，则 a－d 步骤省略）： </w:t>
      </w:r>
    </w:p>
    <w:p>
      <w:pPr>
        <w:spacing w:line="400" w:lineRule="exact"/>
        <w:ind w:firstLine="480" w:firstLineChars="200"/>
        <w:rPr>
          <w:rFonts w:hint="eastAsia" w:ascii="宋体" w:hAnsi="宋体" w:cs="宋体"/>
          <w:color w:val="auto"/>
          <w:kern w:val="0"/>
          <w:sz w:val="24"/>
          <w:szCs w:val="24"/>
        </w:rPr>
      </w:pPr>
      <w:r>
        <w:rPr>
          <w:rFonts w:hint="eastAsia" w:ascii="宋体" w:hAnsi="宋体" w:cs="宋体"/>
          <w:color w:val="auto"/>
          <w:kern w:val="0"/>
          <w:sz w:val="24"/>
          <w:szCs w:val="24"/>
        </w:rPr>
        <w:t xml:space="preserve">a、按本评标办法的规定对算术性错误予以修正； </w:t>
      </w:r>
    </w:p>
    <w:p>
      <w:pPr>
        <w:spacing w:line="400" w:lineRule="exact"/>
        <w:ind w:firstLine="480" w:firstLineChars="200"/>
        <w:rPr>
          <w:rFonts w:hint="eastAsia" w:ascii="宋体" w:hAnsi="宋体" w:cs="宋体"/>
          <w:color w:val="auto"/>
          <w:kern w:val="0"/>
          <w:sz w:val="24"/>
          <w:szCs w:val="24"/>
        </w:rPr>
      </w:pPr>
      <w:r>
        <w:rPr>
          <w:rFonts w:hint="eastAsia" w:ascii="宋体" w:hAnsi="宋体" w:cs="宋体"/>
          <w:color w:val="auto"/>
          <w:kern w:val="0"/>
          <w:sz w:val="24"/>
          <w:szCs w:val="24"/>
        </w:rPr>
        <w:t>b、对于漏报的工程细目单价和合价或单价和合价减少的报价内容视为已含入其它工程细目的单价和合价之中；</w:t>
      </w:r>
    </w:p>
    <w:p>
      <w:pPr>
        <w:spacing w:line="400" w:lineRule="exact"/>
        <w:ind w:firstLine="480" w:firstLineChars="200"/>
        <w:rPr>
          <w:rFonts w:hint="eastAsia" w:ascii="宋体" w:hAnsi="宋体" w:cs="宋体"/>
          <w:color w:val="auto"/>
          <w:kern w:val="0"/>
          <w:sz w:val="24"/>
          <w:szCs w:val="24"/>
        </w:rPr>
      </w:pPr>
      <w:r>
        <w:rPr>
          <w:rFonts w:hint="eastAsia" w:ascii="宋体" w:hAnsi="宋体" w:cs="宋体"/>
          <w:color w:val="auto"/>
          <w:kern w:val="0"/>
          <w:sz w:val="24"/>
          <w:szCs w:val="24"/>
        </w:rPr>
        <w:t xml:space="preserve">c、在保证投标总价不变的前提下，对于多报的工程细目报价或工程细目报价中增加的部分报价从投标报价中予以扣除，并对其它细目作相应的平衡性调整； </w:t>
      </w:r>
    </w:p>
    <w:p>
      <w:pPr>
        <w:spacing w:line="400" w:lineRule="exact"/>
        <w:ind w:firstLine="480" w:firstLineChars="200"/>
        <w:rPr>
          <w:rFonts w:hint="eastAsia" w:ascii="宋体" w:hAnsi="宋体" w:cs="宋体"/>
          <w:color w:val="auto"/>
          <w:kern w:val="0"/>
          <w:sz w:val="24"/>
          <w:szCs w:val="24"/>
        </w:rPr>
      </w:pPr>
      <w:r>
        <w:rPr>
          <w:rFonts w:hint="eastAsia" w:ascii="宋体" w:hAnsi="宋体" w:cs="宋体"/>
          <w:color w:val="auto"/>
          <w:kern w:val="0"/>
          <w:sz w:val="24"/>
          <w:szCs w:val="24"/>
        </w:rPr>
        <w:t>d、在保证投标总价不变的前提下，对与给定工程量清单数量不符的工程数量进行更正，并对其它细目作相应的平衡性调整；</w:t>
      </w:r>
    </w:p>
    <w:p>
      <w:pPr>
        <w:spacing w:line="400" w:lineRule="exact"/>
        <w:ind w:firstLine="480" w:firstLineChars="200"/>
        <w:rPr>
          <w:rFonts w:hint="eastAsia" w:ascii="宋体" w:hAnsi="宋体"/>
          <w:color w:val="auto"/>
          <w:sz w:val="24"/>
          <w:szCs w:val="24"/>
        </w:rPr>
      </w:pPr>
      <w:bookmarkStart w:id="32" w:name="_Toc144974564"/>
      <w:bookmarkStart w:id="33" w:name="_Toc152042374"/>
      <w:bookmarkStart w:id="34" w:name="_Toc152045597"/>
      <w:bookmarkStart w:id="35" w:name="_Toc179632615"/>
      <w:bookmarkStart w:id="36" w:name="_Toc28494"/>
      <w:r>
        <w:rPr>
          <w:rFonts w:hint="eastAsia" w:ascii="宋体" w:hAnsi="宋体"/>
          <w:color w:val="auto"/>
          <w:sz w:val="24"/>
          <w:szCs w:val="24"/>
        </w:rPr>
        <w:t>3.3.2 澄清、说明和补正不得改变投标文件的实质性内容（算术性错误修正的除外）。投标人的书面澄清、说明和补正属于投标文件的组成部分。</w:t>
      </w:r>
    </w:p>
    <w:p>
      <w:pPr>
        <w:spacing w:line="400" w:lineRule="exact"/>
        <w:ind w:firstLine="480" w:firstLineChars="200"/>
        <w:rPr>
          <w:rFonts w:hint="eastAsia" w:ascii="宋体" w:hAnsi="宋体"/>
          <w:color w:val="auto"/>
          <w:sz w:val="24"/>
          <w:szCs w:val="24"/>
        </w:rPr>
      </w:pPr>
      <w:r>
        <w:rPr>
          <w:rFonts w:hint="eastAsia" w:ascii="宋体" w:hAnsi="宋体"/>
          <w:color w:val="auto"/>
          <w:sz w:val="24"/>
          <w:szCs w:val="24"/>
        </w:rPr>
        <w:t>3.3.3 评标委员会对投标人提交的澄清、说明或补正有疑问的，可以要求投标人进一步澄清、说明或补正，直至满足评标委员会的要求。</w:t>
      </w:r>
    </w:p>
    <w:p>
      <w:pPr>
        <w:spacing w:line="400" w:lineRule="exact"/>
        <w:rPr>
          <w:rFonts w:hint="eastAsia" w:ascii="宋体" w:hAnsi="宋体"/>
          <w:color w:val="auto"/>
          <w:sz w:val="24"/>
          <w:szCs w:val="24"/>
        </w:rPr>
      </w:pPr>
      <w:r>
        <w:rPr>
          <w:rFonts w:hint="eastAsia" w:ascii="宋体" w:hAnsi="宋体"/>
          <w:color w:val="auto"/>
          <w:sz w:val="24"/>
          <w:szCs w:val="24"/>
        </w:rPr>
        <w:t>3.3.4 凡超出招标文件规定的或给发包人带来未曾要求的利益的变化、偏差或其他因素在评标时不予考虑。</w:t>
      </w:r>
    </w:p>
    <w:p>
      <w:pPr>
        <w:spacing w:line="400" w:lineRule="exact"/>
        <w:rPr>
          <w:rFonts w:ascii="宋体" w:hAnsi="宋体"/>
          <w:b/>
          <w:snapToGrid w:val="0"/>
          <w:color w:val="auto"/>
          <w:kern w:val="0"/>
          <w:sz w:val="24"/>
          <w:szCs w:val="24"/>
        </w:rPr>
      </w:pPr>
    </w:p>
    <w:p>
      <w:pPr>
        <w:spacing w:line="400" w:lineRule="exact"/>
        <w:rPr>
          <w:rFonts w:ascii="宋体" w:hAnsi="宋体"/>
          <w:b/>
          <w:snapToGrid w:val="0"/>
          <w:color w:val="auto"/>
          <w:kern w:val="0"/>
          <w:sz w:val="24"/>
          <w:szCs w:val="24"/>
        </w:rPr>
      </w:pPr>
      <w:r>
        <w:rPr>
          <w:rFonts w:ascii="宋体" w:hAnsi="宋体"/>
          <w:b/>
          <w:snapToGrid w:val="0"/>
          <w:color w:val="auto"/>
          <w:kern w:val="0"/>
          <w:sz w:val="24"/>
          <w:szCs w:val="24"/>
        </w:rPr>
        <w:t>3.4 评标结果</w:t>
      </w:r>
      <w:bookmarkEnd w:id="32"/>
      <w:bookmarkEnd w:id="33"/>
      <w:bookmarkEnd w:id="34"/>
      <w:bookmarkEnd w:id="35"/>
      <w:bookmarkEnd w:id="36"/>
    </w:p>
    <w:p>
      <w:pPr>
        <w:spacing w:line="400" w:lineRule="exact"/>
        <w:ind w:firstLine="480" w:firstLineChars="200"/>
        <w:rPr>
          <w:rFonts w:ascii="宋体" w:hAnsi="宋体"/>
          <w:snapToGrid w:val="0"/>
          <w:color w:val="auto"/>
          <w:kern w:val="0"/>
          <w:sz w:val="24"/>
          <w:szCs w:val="24"/>
        </w:rPr>
      </w:pPr>
      <w:r>
        <w:rPr>
          <w:rFonts w:ascii="宋体" w:hAnsi="宋体"/>
          <w:snapToGrid w:val="0"/>
          <w:color w:val="auto"/>
          <w:kern w:val="0"/>
          <w:sz w:val="24"/>
          <w:szCs w:val="24"/>
        </w:rPr>
        <w:t>3.4.1评标委员会按照经评审的排名顺序由高到低的顺序推荐三名中标候选人。</w:t>
      </w:r>
    </w:p>
    <w:p>
      <w:pPr>
        <w:spacing w:line="400" w:lineRule="exact"/>
        <w:ind w:firstLine="480" w:firstLineChars="200"/>
        <w:rPr>
          <w:rFonts w:ascii="宋体" w:hAnsi="宋体"/>
          <w:snapToGrid w:val="0"/>
          <w:color w:val="auto"/>
          <w:kern w:val="0"/>
          <w:sz w:val="24"/>
          <w:szCs w:val="24"/>
        </w:rPr>
      </w:pPr>
      <w:r>
        <w:rPr>
          <w:rFonts w:ascii="宋体" w:hAnsi="宋体"/>
          <w:snapToGrid w:val="0"/>
          <w:color w:val="auto"/>
          <w:kern w:val="0"/>
          <w:sz w:val="24"/>
          <w:szCs w:val="24"/>
        </w:rPr>
        <w:t>3.4.2 评标委员会完成评标后，应当向招标人提交书面评标报告。</w:t>
      </w:r>
    </w:p>
    <w:p>
      <w:pPr>
        <w:spacing w:line="400" w:lineRule="exact"/>
        <w:ind w:firstLine="480" w:firstLineChars="200"/>
        <w:jc w:val="left"/>
        <w:rPr>
          <w:rFonts w:ascii="宋体" w:hAnsi="宋体"/>
          <w:snapToGrid w:val="0"/>
          <w:color w:val="auto"/>
          <w:kern w:val="0"/>
          <w:sz w:val="24"/>
          <w:szCs w:val="24"/>
        </w:rPr>
      </w:pPr>
      <w:r>
        <w:rPr>
          <w:rFonts w:ascii="宋体" w:hAnsi="宋体"/>
          <w:snapToGrid w:val="0"/>
          <w:color w:val="auto"/>
          <w:kern w:val="0"/>
          <w:sz w:val="24"/>
          <w:szCs w:val="24"/>
        </w:rPr>
        <w:t>评标报告载明以下内容：</w:t>
      </w:r>
    </w:p>
    <w:p>
      <w:pPr>
        <w:spacing w:line="400" w:lineRule="exact"/>
        <w:ind w:left="480"/>
        <w:jc w:val="left"/>
        <w:rPr>
          <w:rFonts w:ascii="宋体" w:hAnsi="宋体"/>
          <w:snapToGrid w:val="0"/>
          <w:color w:val="auto"/>
          <w:kern w:val="0"/>
          <w:sz w:val="24"/>
          <w:szCs w:val="24"/>
        </w:rPr>
      </w:pPr>
      <w:r>
        <w:rPr>
          <w:rFonts w:hint="eastAsia" w:ascii="宋体" w:hAnsi="宋体"/>
          <w:snapToGrid w:val="0"/>
          <w:color w:val="auto"/>
          <w:kern w:val="0"/>
          <w:sz w:val="24"/>
          <w:szCs w:val="24"/>
        </w:rPr>
        <w:t>（一）</w:t>
      </w:r>
      <w:r>
        <w:rPr>
          <w:rFonts w:ascii="宋体" w:hAnsi="宋体"/>
          <w:snapToGrid w:val="0"/>
          <w:color w:val="auto"/>
          <w:kern w:val="0"/>
          <w:sz w:val="24"/>
          <w:szCs w:val="24"/>
        </w:rPr>
        <w:t>评标委员会的成员名单；</w:t>
      </w:r>
    </w:p>
    <w:p>
      <w:pPr>
        <w:spacing w:line="400" w:lineRule="exact"/>
        <w:ind w:left="480"/>
        <w:jc w:val="left"/>
        <w:rPr>
          <w:rFonts w:ascii="宋体" w:hAnsi="宋体"/>
          <w:snapToGrid w:val="0"/>
          <w:color w:val="auto"/>
          <w:kern w:val="0"/>
          <w:sz w:val="24"/>
          <w:szCs w:val="24"/>
        </w:rPr>
      </w:pPr>
      <w:r>
        <w:rPr>
          <w:rFonts w:hint="eastAsia" w:ascii="宋体" w:hAnsi="宋体"/>
          <w:snapToGrid w:val="0"/>
          <w:color w:val="auto"/>
          <w:kern w:val="0"/>
          <w:sz w:val="24"/>
          <w:szCs w:val="24"/>
        </w:rPr>
        <w:t>（二）</w:t>
      </w:r>
      <w:r>
        <w:rPr>
          <w:rFonts w:ascii="宋体" w:hAnsi="宋体"/>
          <w:snapToGrid w:val="0"/>
          <w:color w:val="auto"/>
          <w:kern w:val="0"/>
          <w:sz w:val="24"/>
          <w:szCs w:val="24"/>
        </w:rPr>
        <w:t>开标记录情况；</w:t>
      </w:r>
    </w:p>
    <w:p>
      <w:pPr>
        <w:spacing w:line="400" w:lineRule="exact"/>
        <w:ind w:left="480"/>
        <w:jc w:val="left"/>
        <w:rPr>
          <w:rFonts w:ascii="宋体" w:hAnsi="宋体"/>
          <w:snapToGrid w:val="0"/>
          <w:color w:val="auto"/>
          <w:kern w:val="0"/>
          <w:sz w:val="24"/>
          <w:szCs w:val="24"/>
        </w:rPr>
      </w:pPr>
      <w:r>
        <w:rPr>
          <w:rFonts w:hint="eastAsia" w:ascii="宋体" w:hAnsi="宋体"/>
          <w:snapToGrid w:val="0"/>
          <w:color w:val="auto"/>
          <w:kern w:val="0"/>
          <w:sz w:val="24"/>
          <w:szCs w:val="24"/>
        </w:rPr>
        <w:t>（三）</w:t>
      </w:r>
      <w:r>
        <w:rPr>
          <w:rFonts w:ascii="宋体" w:hAnsi="宋体"/>
          <w:snapToGrid w:val="0"/>
          <w:color w:val="auto"/>
          <w:kern w:val="0"/>
          <w:sz w:val="24"/>
          <w:szCs w:val="24"/>
        </w:rPr>
        <w:t>评标采用的标准和方法；</w:t>
      </w:r>
    </w:p>
    <w:p>
      <w:pPr>
        <w:spacing w:line="400" w:lineRule="exact"/>
        <w:ind w:left="480"/>
        <w:jc w:val="left"/>
        <w:rPr>
          <w:rFonts w:ascii="宋体" w:hAnsi="宋体"/>
          <w:snapToGrid w:val="0"/>
          <w:color w:val="auto"/>
          <w:kern w:val="0"/>
          <w:sz w:val="24"/>
          <w:szCs w:val="24"/>
        </w:rPr>
      </w:pPr>
      <w:r>
        <w:rPr>
          <w:rFonts w:hint="eastAsia" w:ascii="宋体" w:hAnsi="宋体"/>
          <w:snapToGrid w:val="0"/>
          <w:color w:val="auto"/>
          <w:kern w:val="0"/>
          <w:sz w:val="24"/>
          <w:szCs w:val="24"/>
        </w:rPr>
        <w:t>（四）</w:t>
      </w:r>
      <w:r>
        <w:rPr>
          <w:rFonts w:ascii="宋体" w:hAnsi="宋体"/>
          <w:snapToGrid w:val="0"/>
          <w:color w:val="auto"/>
          <w:kern w:val="0"/>
          <w:sz w:val="24"/>
          <w:szCs w:val="24"/>
        </w:rPr>
        <w:t>对投标人的评价；</w:t>
      </w:r>
    </w:p>
    <w:p>
      <w:pPr>
        <w:spacing w:line="400" w:lineRule="exact"/>
        <w:ind w:left="480"/>
        <w:jc w:val="left"/>
        <w:rPr>
          <w:rFonts w:ascii="宋体" w:hAnsi="宋体"/>
          <w:snapToGrid w:val="0"/>
          <w:color w:val="auto"/>
          <w:kern w:val="0"/>
          <w:sz w:val="24"/>
          <w:szCs w:val="24"/>
        </w:rPr>
      </w:pPr>
      <w:r>
        <w:rPr>
          <w:rFonts w:hint="eastAsia" w:ascii="宋体" w:hAnsi="宋体"/>
          <w:snapToGrid w:val="0"/>
          <w:color w:val="auto"/>
          <w:kern w:val="0"/>
          <w:sz w:val="24"/>
          <w:szCs w:val="24"/>
        </w:rPr>
        <w:t>（五）</w:t>
      </w:r>
      <w:r>
        <w:rPr>
          <w:rFonts w:ascii="宋体" w:hAnsi="宋体"/>
          <w:snapToGrid w:val="0"/>
          <w:color w:val="auto"/>
          <w:kern w:val="0"/>
          <w:sz w:val="24"/>
          <w:szCs w:val="24"/>
        </w:rPr>
        <w:t>符合要求的投标人情况；</w:t>
      </w:r>
    </w:p>
    <w:p>
      <w:pPr>
        <w:spacing w:line="400" w:lineRule="exact"/>
        <w:ind w:left="480"/>
        <w:jc w:val="left"/>
        <w:rPr>
          <w:rFonts w:ascii="宋体" w:hAnsi="宋体"/>
          <w:snapToGrid w:val="0"/>
          <w:color w:val="auto"/>
          <w:kern w:val="0"/>
          <w:sz w:val="24"/>
          <w:szCs w:val="24"/>
        </w:rPr>
      </w:pPr>
      <w:r>
        <w:rPr>
          <w:rFonts w:hint="eastAsia" w:ascii="宋体" w:hAnsi="宋体"/>
          <w:snapToGrid w:val="0"/>
          <w:color w:val="auto"/>
          <w:kern w:val="0"/>
          <w:sz w:val="24"/>
          <w:szCs w:val="24"/>
        </w:rPr>
        <w:t>（六）</w:t>
      </w:r>
      <w:r>
        <w:rPr>
          <w:rFonts w:ascii="宋体" w:hAnsi="宋体"/>
          <w:snapToGrid w:val="0"/>
          <w:color w:val="auto"/>
          <w:kern w:val="0"/>
          <w:sz w:val="24"/>
          <w:szCs w:val="24"/>
        </w:rPr>
        <w:t>推荐的中标候选人；</w:t>
      </w:r>
    </w:p>
    <w:p>
      <w:pPr>
        <w:spacing w:line="400" w:lineRule="exact"/>
        <w:ind w:left="480"/>
        <w:jc w:val="left"/>
        <w:rPr>
          <w:rFonts w:ascii="宋体" w:hAnsi="宋体"/>
          <w:snapToGrid w:val="0"/>
          <w:color w:val="auto"/>
          <w:kern w:val="0"/>
          <w:sz w:val="24"/>
          <w:szCs w:val="24"/>
        </w:rPr>
      </w:pPr>
      <w:r>
        <w:rPr>
          <w:rFonts w:ascii="宋体" w:hAnsi="宋体"/>
          <w:snapToGrid w:val="0"/>
          <w:color w:val="auto"/>
          <w:kern w:val="0"/>
          <w:sz w:val="24"/>
          <w:szCs w:val="24"/>
        </w:rPr>
        <w:t>（七）需要说明的其他事项。</w:t>
      </w:r>
    </w:p>
    <w:p>
      <w:pPr>
        <w:spacing w:line="400" w:lineRule="exact"/>
        <w:outlineLvl w:val="0"/>
        <w:rPr>
          <w:rFonts w:hint="eastAsia" w:ascii="宋体" w:hAnsi="宋体"/>
          <w:b/>
          <w:snapToGrid w:val="0"/>
          <w:color w:val="auto"/>
          <w:kern w:val="0"/>
          <w:sz w:val="24"/>
          <w:szCs w:val="24"/>
        </w:rPr>
      </w:pPr>
      <w:bookmarkStart w:id="37" w:name="_Toc3118"/>
      <w:r>
        <w:rPr>
          <w:rFonts w:hint="eastAsia" w:ascii="宋体" w:hAnsi="宋体"/>
          <w:b/>
          <w:snapToGrid w:val="0"/>
          <w:color w:val="auto"/>
          <w:kern w:val="0"/>
          <w:sz w:val="24"/>
          <w:szCs w:val="24"/>
        </w:rPr>
        <w:t>3.5 定标原则</w:t>
      </w:r>
      <w:bookmarkEnd w:id="37"/>
    </w:p>
    <w:p>
      <w:pPr>
        <w:spacing w:line="400" w:lineRule="exact"/>
        <w:ind w:firstLine="480" w:firstLineChars="200"/>
        <w:rPr>
          <w:rFonts w:hint="eastAsia" w:ascii="宋体" w:hAnsi="宋体"/>
          <w:snapToGrid w:val="0"/>
          <w:color w:val="auto"/>
          <w:kern w:val="0"/>
          <w:sz w:val="24"/>
          <w:szCs w:val="24"/>
        </w:rPr>
      </w:pPr>
      <w:r>
        <w:rPr>
          <w:rFonts w:hint="eastAsia" w:ascii="宋体" w:hAnsi="宋体"/>
          <w:snapToGrid w:val="0"/>
          <w:color w:val="auto"/>
          <w:kern w:val="0"/>
          <w:sz w:val="24"/>
          <w:szCs w:val="24"/>
        </w:rPr>
        <w:t>3.5.1 按上述评审办法的综合得分从高到低进行排名,如果综合得分相同，以投标报价较低的投标人排名优先。当一家以上投标人综合得分相等且评标价也相等时，若各投标人工程量清单细目单价也相同，视为串标（一个合同段仅一工作细目报价的除外），应否决其投标；若各投标人工程量清单细目单价不尽相同，由评标委员会按照以下顺序确定其名次：</w:t>
      </w:r>
    </w:p>
    <w:p>
      <w:pPr>
        <w:spacing w:line="400" w:lineRule="exact"/>
        <w:ind w:firstLine="480" w:firstLineChars="200"/>
        <w:rPr>
          <w:rFonts w:hint="eastAsia" w:ascii="宋体" w:hAnsi="宋体"/>
          <w:snapToGrid w:val="0"/>
          <w:color w:val="auto"/>
          <w:kern w:val="0"/>
          <w:sz w:val="24"/>
          <w:szCs w:val="24"/>
        </w:rPr>
      </w:pPr>
      <w:r>
        <w:rPr>
          <w:rFonts w:hint="eastAsia" w:ascii="宋体" w:hAnsi="宋体"/>
          <w:snapToGrid w:val="0"/>
          <w:color w:val="auto"/>
          <w:kern w:val="0"/>
          <w:sz w:val="24"/>
          <w:szCs w:val="24"/>
        </w:rPr>
        <w:t xml:space="preserve">（1）被广东省交通运输厅评为较高信用等级的投标人优先（对于信用等级为 AA、A 的企业在递交投标文件时应按要求提交使用广东省信用评价等级申请承诺书，否则，AA 级信用等级企业按 A 级对待、A 级信用等级企业按 B 级对待）； </w:t>
      </w:r>
    </w:p>
    <w:p>
      <w:pPr>
        <w:spacing w:line="400" w:lineRule="exact"/>
        <w:ind w:firstLine="480" w:firstLineChars="200"/>
        <w:rPr>
          <w:rFonts w:hint="eastAsia" w:ascii="宋体" w:hAnsi="宋体"/>
          <w:snapToGrid w:val="0"/>
          <w:color w:val="auto"/>
          <w:kern w:val="0"/>
          <w:sz w:val="24"/>
          <w:szCs w:val="24"/>
        </w:rPr>
      </w:pPr>
      <w:r>
        <w:rPr>
          <w:rFonts w:hint="eastAsia" w:ascii="宋体" w:hAnsi="宋体"/>
          <w:snapToGrid w:val="0"/>
          <w:color w:val="auto"/>
          <w:kern w:val="0"/>
          <w:sz w:val="24"/>
          <w:szCs w:val="24"/>
        </w:rPr>
        <w:t xml:space="preserve">（2）以投标人企业净资产较高的优先。 </w:t>
      </w:r>
    </w:p>
    <w:p>
      <w:pPr>
        <w:spacing w:line="400" w:lineRule="exact"/>
        <w:ind w:firstLine="480" w:firstLineChars="200"/>
        <w:rPr>
          <w:rFonts w:hint="eastAsia" w:ascii="宋体" w:hAnsi="宋体"/>
          <w:snapToGrid w:val="0"/>
          <w:color w:val="auto"/>
          <w:kern w:val="0"/>
          <w:sz w:val="24"/>
          <w:szCs w:val="24"/>
        </w:rPr>
      </w:pPr>
      <w:r>
        <w:rPr>
          <w:rFonts w:hint="eastAsia" w:ascii="宋体" w:hAnsi="宋体"/>
          <w:snapToGrid w:val="0"/>
          <w:color w:val="auto"/>
          <w:kern w:val="0"/>
          <w:sz w:val="24"/>
          <w:szCs w:val="24"/>
        </w:rPr>
        <w:t xml:space="preserve">（3）由评标委员会投票确定其名次。 </w:t>
      </w:r>
    </w:p>
    <w:p>
      <w:pPr>
        <w:spacing w:line="400" w:lineRule="exact"/>
        <w:ind w:firstLine="480" w:firstLineChars="200"/>
        <w:rPr>
          <w:rFonts w:hint="eastAsia" w:ascii="宋体" w:hAnsi="宋体"/>
          <w:snapToGrid w:val="0"/>
          <w:color w:val="auto"/>
          <w:kern w:val="0"/>
          <w:sz w:val="24"/>
          <w:szCs w:val="24"/>
        </w:rPr>
      </w:pPr>
      <w:r>
        <w:rPr>
          <w:rFonts w:hint="eastAsia" w:ascii="宋体" w:hAnsi="宋体"/>
          <w:snapToGrid w:val="0"/>
          <w:color w:val="auto"/>
          <w:kern w:val="0"/>
          <w:sz w:val="24"/>
          <w:szCs w:val="24"/>
        </w:rPr>
        <w:t xml:space="preserve">3.5.2 按照上述第 3.5.1 款原则，按排名次序推荐出 3 名中标候选人。 </w:t>
      </w:r>
    </w:p>
    <w:p>
      <w:pPr>
        <w:spacing w:line="400" w:lineRule="exact"/>
        <w:ind w:firstLine="480" w:firstLineChars="200"/>
        <w:rPr>
          <w:rFonts w:hint="eastAsia" w:ascii="宋体" w:hAnsi="宋体"/>
          <w:snapToGrid w:val="0"/>
          <w:color w:val="auto"/>
          <w:kern w:val="0"/>
          <w:sz w:val="24"/>
          <w:szCs w:val="24"/>
        </w:rPr>
      </w:pPr>
      <w:r>
        <w:rPr>
          <w:rFonts w:hint="eastAsia" w:ascii="宋体" w:hAnsi="宋体"/>
          <w:snapToGrid w:val="0"/>
          <w:color w:val="auto"/>
          <w:kern w:val="0"/>
          <w:sz w:val="24"/>
          <w:szCs w:val="24"/>
        </w:rPr>
        <w:t xml:space="preserve">3.5.3 如果同一投标人在所投多个合同段出现都被评为综合得分排名第一时，而按招标文件规定允许授予合同的个数不大于所投合同段个数时，则选择该投标人在招标人最高投标限价高的合同段为第一中标候选人的原则，其它合同段则自动失去中标候选人的资格。(可结合具体项目调整完善) </w:t>
      </w:r>
    </w:p>
    <w:p>
      <w:pPr>
        <w:spacing w:line="400" w:lineRule="exact"/>
        <w:ind w:firstLine="480" w:firstLineChars="200"/>
        <w:rPr>
          <w:rFonts w:hint="eastAsia" w:ascii="宋体" w:hAnsi="宋体"/>
          <w:snapToGrid w:val="0"/>
          <w:color w:val="auto"/>
          <w:kern w:val="0"/>
          <w:sz w:val="24"/>
          <w:szCs w:val="24"/>
        </w:rPr>
      </w:pPr>
      <w:r>
        <w:rPr>
          <w:rFonts w:hint="eastAsia" w:ascii="宋体" w:hAnsi="宋体"/>
          <w:snapToGrid w:val="0"/>
          <w:color w:val="auto"/>
          <w:kern w:val="0"/>
          <w:sz w:val="24"/>
          <w:szCs w:val="24"/>
        </w:rPr>
        <w:t xml:space="preserve">3.5.4 通过第一信封商务文件评审的投标人少于 3 个的，评标委员会可以否决全部投标；未否决全部投标的，评标委员会应当在评标报告中阐明理由，招标人应当按照招标文件规定的程序进行第二信封报价文件开标，但评标委员会在进行报价文件评审时仍有权否决全部投标；评标委员会未在报价文件评审时否决全部投标的，应当在评标报告中阐明理由并推荐中标候选人。 </w:t>
      </w:r>
    </w:p>
    <w:p>
      <w:pPr>
        <w:spacing w:line="400" w:lineRule="exact"/>
        <w:ind w:firstLine="480" w:firstLineChars="200"/>
        <w:rPr>
          <w:rFonts w:hint="eastAsia" w:ascii="宋体" w:hAnsi="宋体"/>
          <w:snapToGrid w:val="0"/>
          <w:color w:val="auto"/>
          <w:kern w:val="0"/>
          <w:sz w:val="24"/>
          <w:szCs w:val="24"/>
        </w:rPr>
      </w:pPr>
      <w:r>
        <w:rPr>
          <w:rFonts w:hint="eastAsia" w:ascii="宋体" w:hAnsi="宋体"/>
          <w:snapToGrid w:val="0"/>
          <w:color w:val="auto"/>
          <w:kern w:val="0"/>
          <w:sz w:val="24"/>
          <w:szCs w:val="24"/>
        </w:rPr>
        <w:t>3.5.5 通过第一信封商务文件评审的投标人在 3 个及以上的，招标人应当按照招标文件规定的程序进行第二信封报价文件开标；在对报价文件进行评审后，有效投标不足3个的，评标委员会可以否决全部投标。未否决全部投标的，评标委员会应当在评标报告中阐明理由并推荐中标候选人。</w:t>
      </w:r>
    </w:p>
    <w:p>
      <w:pPr>
        <w:spacing w:line="400" w:lineRule="exact"/>
        <w:ind w:firstLine="480" w:firstLineChars="200"/>
        <w:rPr>
          <w:sz w:val="24"/>
          <w:szCs w:val="24"/>
        </w:rPr>
      </w:pPr>
      <w:r>
        <w:rPr>
          <w:rFonts w:hint="eastAsia" w:ascii="宋体" w:hAnsi="宋体"/>
          <w:snapToGrid w:val="0"/>
          <w:color w:val="auto"/>
          <w:kern w:val="0"/>
          <w:sz w:val="24"/>
          <w:szCs w:val="24"/>
        </w:rPr>
        <w:t>3.5.6 如果发生无法确定推荐中标候选人的其它意外情况，评标委员会可建议招标人重新招标。</w:t>
      </w:r>
      <w:bookmarkStart w:id="38" w:name="_GoBack"/>
      <w:bookmarkEnd w:id="38"/>
    </w:p>
    <w:sectPr>
      <w:pgSz w:w="11906" w:h="16838"/>
      <w:pgMar w:top="623" w:right="1486" w:bottom="986" w:left="1380" w:header="851" w:footer="992" w:gutter="0"/>
      <w:paperSrc/>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ËÎÌå">
    <w:altName w:val="Arial"/>
    <w:panose1 w:val="00000000000000000000"/>
    <w:charset w:val="00"/>
    <w:family w:val="swiss"/>
    <w:pitch w:val="default"/>
    <w:sig w:usb0="00000000" w:usb1="00000000" w:usb2="00000000" w:usb3="00000000" w:csb0="00000001" w:csb1="00000000"/>
  </w:font>
  <w:font w:name="楷体_GB2312">
    <w:altName w:val="楷体"/>
    <w:panose1 w:val="02010609030101010101"/>
    <w:charset w:val="86"/>
    <w:family w:val="modern"/>
    <w:pitch w:val="default"/>
    <w:sig w:usb0="00000000" w:usb1="00000000" w:usb2="00000000" w:usb3="00000000" w:csb0="00040000" w:csb1="00000000"/>
  </w:font>
  <w:font w:name="隶书">
    <w:panose1 w:val="02010509060101010101"/>
    <w:charset w:val="86"/>
    <w:family w:val="modern"/>
    <w:pitch w:val="default"/>
    <w:sig w:usb0="00000001" w:usb1="080E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Arial Narrow">
    <w:panose1 w:val="020B0606020202030204"/>
    <w:charset w:val="00"/>
    <w:family w:val="swiss"/>
    <w:pitch w:val="default"/>
    <w:sig w:usb0="00000287" w:usb1="00000800" w:usb2="00000000" w:usb3="00000000" w:csb0="2000009F" w:csb1="DFD70000"/>
  </w:font>
  <w:font w:name="smartSimSun">
    <w:altName w:val="宋体"/>
    <w:panose1 w:val="02010600030101010101"/>
    <w:charset w:val="86"/>
    <w:family w:val="auto"/>
    <w:pitch w:val="default"/>
    <w:sig w:usb0="00000000" w:usb1="00000000" w:usb2="00000000" w:usb3="00000000" w:csb0="00040001" w:csb1="00000000"/>
  </w:font>
  <w:font w:name="smartSimSun">
    <w:altName w:val="Arial Unicode MS"/>
    <w:panose1 w:val="00000000000000000000"/>
    <w:charset w:val="00"/>
    <w:family w:val="auto"/>
    <w:pitch w:val="default"/>
    <w:sig w:usb0="00000000" w:usb1="00000000" w:usb2="00000000" w:usb3="00000000" w:csb0="00040001" w:csb1="00000000"/>
  </w:font>
  <w:font w:name="MingLiU">
    <w:panose1 w:val="02020509000000000000"/>
    <w:charset w:val="88"/>
    <w:family w:val="modern"/>
    <w:pitch w:val="default"/>
    <w:sig w:usb0="A00002FF" w:usb1="28CFFCFA" w:usb2="00000016" w:usb3="00000000" w:csb0="00100001"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7F3D9B"/>
    <w:multiLevelType w:val="singleLevel"/>
    <w:tmpl w:val="587F3D9B"/>
    <w:lvl w:ilvl="0" w:tentative="0">
      <w:start w:val="2"/>
      <w:numFmt w:val="decimal"/>
      <w:suff w:val="nothing"/>
      <w:lvlText w:val="（%1）"/>
      <w:lvlJc w:val="left"/>
    </w:lvl>
  </w:abstractNum>
  <w:abstractNum w:abstractNumId="1">
    <w:nsid w:val="5965DC6F"/>
    <w:multiLevelType w:val="singleLevel"/>
    <w:tmpl w:val="5965DC6F"/>
    <w:lvl w:ilvl="0" w:tentative="0">
      <w:start w:val="3"/>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176005"/>
    <w:rsid w:val="571760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2"/>
      <w:lang w:val="en-US" w:eastAsia="zh-CN" w:bidi="ar-SA"/>
    </w:rPr>
  </w:style>
  <w:style w:type="paragraph" w:styleId="2">
    <w:name w:val="heading 2"/>
    <w:basedOn w:val="1"/>
    <w:next w:val="1"/>
    <w:unhideWhenUsed/>
    <w:qFormat/>
    <w:uiPriority w:val="0"/>
    <w:pPr>
      <w:keepNext/>
      <w:keepLines/>
      <w:spacing w:before="260" w:beforeLines="0" w:after="260" w:afterLines="0" w:line="416" w:lineRule="auto"/>
      <w:outlineLvl w:val="1"/>
    </w:pPr>
    <w:rPr>
      <w:rFonts w:ascii="Arial" w:hAnsi="Arial" w:eastAsia="黑体"/>
      <w:b/>
      <w:bCs/>
      <w:kern w:val="2"/>
      <w:sz w:val="32"/>
      <w:szCs w:val="32"/>
    </w:rPr>
  </w:style>
  <w:style w:type="paragraph" w:styleId="3">
    <w:name w:val="heading 3"/>
    <w:basedOn w:val="1"/>
    <w:next w:val="1"/>
    <w:unhideWhenUsed/>
    <w:qFormat/>
    <w:uiPriority w:val="0"/>
    <w:pPr>
      <w:keepNext/>
      <w:keepLines/>
      <w:spacing w:before="260" w:beforeLines="0" w:after="260" w:afterLines="0" w:line="416" w:lineRule="auto"/>
      <w:outlineLvl w:val="2"/>
    </w:pPr>
    <w:rPr>
      <w:b/>
      <w:bCs/>
      <w:kern w:val="2"/>
      <w:sz w:val="32"/>
      <w:szCs w:val="32"/>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Office_10.1.0.6660_F1E327BC-269C-435d-A152-05C5408002CA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2017-07-17T07:57:00Z</dcterms:created>
  <dc:creator>Administrator</dc:creator>
  <cp:lastModifiedBy>Administrator</cp:lastModifiedBy>
  <dcterms:modified xsi:type="dcterms:W3CDTF">2017-07-17T08:03:38Z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2052-10.1.0.6660</vt:lpwstr>
  </property>
</Properties>
</file>