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hint="eastAsia" w:ascii="宋体" w:hAnsi="宋体"/>
          <w:snapToGrid w:val="0"/>
          <w:color w:val="auto"/>
          <w:kern w:val="0"/>
          <w:szCs w:val="21"/>
        </w:rPr>
      </w:pPr>
      <w:r>
        <w:rPr>
          <w:rFonts w:hint="eastAsia" w:ascii="宋体" w:hAnsi="宋体"/>
          <w:snapToGrid w:val="0"/>
          <w:color w:val="auto"/>
          <w:kern w:val="0"/>
          <w:sz w:val="35"/>
          <w:szCs w:val="21"/>
        </w:rPr>
        <w:t>附 录</w:t>
      </w:r>
    </w:p>
    <w:p>
      <w:pPr>
        <w:widowControl/>
        <w:spacing w:line="360" w:lineRule="auto"/>
        <w:jc w:val="center"/>
        <w:rPr>
          <w:rFonts w:hint="eastAsia" w:ascii="黑体" w:eastAsia="黑体"/>
          <w:b/>
          <w:bCs/>
          <w:color w:val="auto"/>
          <w:kern w:val="44"/>
          <w:sz w:val="28"/>
          <w:szCs w:val="28"/>
        </w:rPr>
      </w:pPr>
      <w:r>
        <w:rPr>
          <w:rFonts w:hint="eastAsia" w:ascii="黑体" w:eastAsia="黑体"/>
          <w:b/>
          <w:bCs/>
          <w:color w:val="auto"/>
          <w:kern w:val="44"/>
          <w:sz w:val="28"/>
          <w:szCs w:val="28"/>
        </w:rPr>
        <w:t>附录1   资格审查条件</w:t>
      </w:r>
      <w:r>
        <w:rPr>
          <w:rFonts w:hint="eastAsia" w:ascii="宋体" w:hAnsi="宋体"/>
          <w:snapToGrid w:val="0"/>
          <w:color w:val="auto"/>
          <w:kern w:val="0"/>
        </w:rPr>
        <w:t>（资质最低要求）</w:t>
      </w:r>
    </w:p>
    <w:tbl>
      <w:tblPr>
        <w:tblStyle w:val="3"/>
        <w:tblW w:w="958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58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PrEx>
        <w:trPr>
          <w:trHeight w:val="643" w:hRule="atLeast"/>
        </w:trPr>
        <w:tc>
          <w:tcPr>
            <w:tcW w:w="9587" w:type="dxa"/>
            <w:vAlign w:val="center"/>
          </w:tcPr>
          <w:p>
            <w:pPr>
              <w:jc w:val="center"/>
              <w:rPr>
                <w:rFonts w:hint="eastAsia" w:ascii="宋体" w:hAnsi="宋体"/>
                <w:color w:val="auto"/>
                <w:szCs w:val="21"/>
              </w:rPr>
            </w:pPr>
            <w:r>
              <w:rPr>
                <w:rFonts w:hint="eastAsia" w:ascii="宋体" w:hAnsi="宋体"/>
                <w:color w:val="auto"/>
                <w:szCs w:val="21"/>
              </w:rPr>
              <w:t>施工企业资质等级要求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3" w:hRule="atLeast"/>
        </w:trPr>
        <w:tc>
          <w:tcPr>
            <w:tcW w:w="9587" w:type="dxa"/>
            <w:tcBorders>
              <w:bottom w:val="single" w:color="auto" w:sz="4" w:space="0"/>
            </w:tcBorders>
            <w:vAlign w:val="center"/>
          </w:tcPr>
          <w:p>
            <w:pPr>
              <w:ind w:firstLine="420" w:firstLineChars="200"/>
              <w:jc w:val="left"/>
              <w:rPr>
                <w:rFonts w:hint="eastAsia" w:ascii="宋体" w:hAnsi="宋体"/>
                <w:color w:val="auto"/>
                <w:szCs w:val="21"/>
              </w:rPr>
            </w:pPr>
            <w:r>
              <w:rPr>
                <w:rFonts w:hint="eastAsia"/>
                <w:color w:val="auto"/>
              </w:rPr>
              <w:t xml:space="preserve">具备公路工程施工总承包三级及以上资质和具备有效的营业执照。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14" w:hRule="atLeast"/>
        </w:trPr>
        <w:tc>
          <w:tcPr>
            <w:tcW w:w="9587" w:type="dxa"/>
            <w:tcBorders>
              <w:top w:val="single" w:color="auto" w:sz="4" w:space="0"/>
              <w:bottom w:val="single" w:color="auto" w:sz="4" w:space="0"/>
            </w:tcBorders>
            <w:vAlign w:val="center"/>
          </w:tcPr>
          <w:p>
            <w:pPr>
              <w:jc w:val="left"/>
              <w:rPr>
                <w:rFonts w:hint="eastAsia"/>
                <w:b/>
                <w:color w:val="auto"/>
              </w:rPr>
            </w:pPr>
            <w:r>
              <w:rPr>
                <w:rFonts w:hint="eastAsia"/>
                <w:b/>
                <w:color w:val="auto"/>
              </w:rPr>
              <w:t>安全生产资格：</w:t>
            </w:r>
          </w:p>
          <w:p>
            <w:pPr>
              <w:ind w:firstLine="420" w:firstLineChars="200"/>
              <w:jc w:val="left"/>
              <w:rPr>
                <w:rFonts w:hint="eastAsia"/>
                <w:color w:val="auto"/>
              </w:rPr>
            </w:pPr>
            <w:r>
              <w:rPr>
                <w:rFonts w:hint="eastAsia"/>
                <w:color w:val="auto"/>
              </w:rPr>
              <w:t>具有合法有效的安全生产许可证</w:t>
            </w:r>
            <w:r>
              <w:rPr>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14" w:hRule="atLeast"/>
        </w:trPr>
        <w:tc>
          <w:tcPr>
            <w:tcW w:w="9587" w:type="dxa"/>
            <w:tcBorders>
              <w:top w:val="single" w:color="auto" w:sz="4" w:space="0"/>
            </w:tcBorders>
            <w:vAlign w:val="center"/>
          </w:tcPr>
          <w:p>
            <w:pPr>
              <w:jc w:val="left"/>
              <w:rPr>
                <w:rFonts w:hint="eastAsia"/>
                <w:b/>
                <w:color w:val="auto"/>
              </w:rPr>
            </w:pPr>
            <w:r>
              <w:rPr>
                <w:rFonts w:hint="eastAsia"/>
                <w:b/>
                <w:color w:val="auto"/>
              </w:rPr>
              <w:t>招标人将按照交通运输部《全国公路建设市场信用信息管理系统》网站中“公路工程施工资质企业名录”（以下简称“名录”）进行审核。对于未列入“名录”或投标人名称、资质信息与“名录”查询结果不符的，将不能通过资格审查。</w:t>
            </w:r>
          </w:p>
        </w:tc>
      </w:tr>
    </w:tbl>
    <w:p>
      <w:pPr>
        <w:spacing w:before="120" w:after="120"/>
        <w:rPr>
          <w:rFonts w:hint="eastAsia" w:ascii="黑体" w:eastAsia="黑体"/>
          <w:b/>
          <w:bCs/>
          <w:color w:val="auto"/>
          <w:kern w:val="44"/>
          <w:sz w:val="28"/>
          <w:szCs w:val="28"/>
        </w:rPr>
      </w:pPr>
    </w:p>
    <w:p>
      <w:pPr>
        <w:jc w:val="center"/>
        <w:rPr>
          <w:rFonts w:hint="eastAsia" w:ascii="隶书" w:hAnsi="宋体" w:eastAsia="隶书"/>
          <w:color w:val="auto"/>
          <w:sz w:val="24"/>
          <w:vertAlign w:val="superscript"/>
        </w:rPr>
      </w:pPr>
      <w:r>
        <w:rPr>
          <w:rFonts w:hint="eastAsia" w:ascii="黑体" w:eastAsia="黑体"/>
          <w:b/>
          <w:bCs/>
          <w:color w:val="auto"/>
          <w:kern w:val="44"/>
          <w:sz w:val="28"/>
          <w:szCs w:val="28"/>
        </w:rPr>
        <w:t>附录2   资格审查条件</w:t>
      </w:r>
      <w:r>
        <w:rPr>
          <w:rFonts w:hint="eastAsia" w:ascii="宋体" w:hAnsi="宋体"/>
          <w:snapToGrid w:val="0"/>
          <w:color w:val="auto"/>
          <w:kern w:val="0"/>
        </w:rPr>
        <w:t>（财务最低要求）</w:t>
      </w:r>
    </w:p>
    <w:tbl>
      <w:tblPr>
        <w:tblStyle w:val="3"/>
        <w:tblW w:w="959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5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3" w:hRule="atLeast"/>
        </w:trPr>
        <w:tc>
          <w:tcPr>
            <w:tcW w:w="9597" w:type="dxa"/>
            <w:vAlign w:val="center"/>
          </w:tcPr>
          <w:p>
            <w:pPr>
              <w:jc w:val="center"/>
              <w:rPr>
                <w:rFonts w:hint="eastAsia" w:ascii="宋体" w:hAnsi="宋体"/>
                <w:color w:val="auto"/>
                <w:szCs w:val="21"/>
              </w:rPr>
            </w:pPr>
            <w:r>
              <w:rPr>
                <w:rFonts w:hint="eastAsia" w:ascii="宋体" w:hAnsi="宋体"/>
                <w:color w:val="auto"/>
                <w:szCs w:val="21"/>
              </w:rPr>
              <w:t>财 务 要 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264" w:hRule="atLeast"/>
        </w:trPr>
        <w:tc>
          <w:tcPr>
            <w:tcW w:w="9597" w:type="dxa"/>
            <w:tcBorders>
              <w:bottom w:val="single" w:color="auto" w:sz="4" w:space="0"/>
            </w:tcBorders>
            <w:vAlign w:val="center"/>
          </w:tcPr>
          <w:p>
            <w:pPr>
              <w:adjustRightInd w:val="0"/>
              <w:snapToGrid w:val="0"/>
              <w:spacing w:before="120"/>
              <w:rPr>
                <w:rFonts w:hint="eastAsia" w:ascii="宋体" w:hAnsi="宋体"/>
                <w:snapToGrid w:val="0"/>
                <w:color w:val="auto"/>
                <w:kern w:val="0"/>
                <w:szCs w:val="21"/>
              </w:rPr>
            </w:pPr>
            <w:r>
              <w:rPr>
                <w:rFonts w:hint="eastAsia" w:ascii="宋体" w:hAnsi="宋体"/>
                <w:snapToGrid w:val="0"/>
                <w:color w:val="auto"/>
                <w:kern w:val="0"/>
                <w:szCs w:val="21"/>
              </w:rPr>
              <w:t>1、企业净资产（总资产-总负债）不少于</w:t>
            </w:r>
            <w:r>
              <w:rPr>
                <w:rFonts w:hint="eastAsia" w:ascii="宋体" w:hAnsi="宋体"/>
                <w:snapToGrid w:val="0"/>
                <w:color w:val="auto"/>
                <w:kern w:val="0"/>
                <w:szCs w:val="21"/>
                <w:u w:val="single"/>
                <w:lang w:val="en-US" w:eastAsia="zh-CN"/>
              </w:rPr>
              <w:t>8</w:t>
            </w:r>
            <w:r>
              <w:rPr>
                <w:rFonts w:hint="eastAsia" w:ascii="宋体" w:hAnsi="宋体"/>
                <w:snapToGrid w:val="0"/>
                <w:color w:val="auto"/>
                <w:kern w:val="0"/>
                <w:szCs w:val="21"/>
                <w:u w:val="single"/>
              </w:rPr>
              <w:t>00</w:t>
            </w:r>
            <w:r>
              <w:rPr>
                <w:rFonts w:hint="eastAsia" w:ascii="宋体" w:hAnsi="宋体"/>
                <w:snapToGrid w:val="0"/>
                <w:color w:val="auto"/>
                <w:kern w:val="0"/>
                <w:szCs w:val="21"/>
              </w:rPr>
              <w:t>万元人民币；</w:t>
            </w:r>
          </w:p>
          <w:p>
            <w:pPr>
              <w:adjustRightInd w:val="0"/>
              <w:snapToGrid w:val="0"/>
              <w:spacing w:before="120"/>
              <w:rPr>
                <w:rFonts w:hint="eastAsia" w:ascii="宋体" w:hAnsi="宋体"/>
                <w:snapToGrid w:val="0"/>
                <w:color w:val="auto"/>
                <w:kern w:val="0"/>
                <w:szCs w:val="21"/>
              </w:rPr>
            </w:pPr>
            <w:r>
              <w:rPr>
                <w:rFonts w:hint="eastAsia" w:ascii="宋体" w:hAnsi="宋体"/>
                <w:snapToGrid w:val="0"/>
                <w:color w:val="auto"/>
                <w:kern w:val="0"/>
                <w:szCs w:val="21"/>
              </w:rPr>
              <w:t>2、营运资金（流动资产－流动负债）不少于</w:t>
            </w:r>
            <w:r>
              <w:rPr>
                <w:rFonts w:hint="eastAsia" w:ascii="宋体" w:hAnsi="宋体"/>
                <w:snapToGrid w:val="0"/>
                <w:color w:val="auto"/>
                <w:kern w:val="0"/>
                <w:szCs w:val="21"/>
                <w:u w:val="single"/>
                <w:lang w:val="en-US" w:eastAsia="zh-CN"/>
              </w:rPr>
              <w:t>4</w:t>
            </w:r>
            <w:r>
              <w:rPr>
                <w:rFonts w:hint="eastAsia" w:ascii="宋体" w:hAnsi="宋体"/>
                <w:snapToGrid w:val="0"/>
                <w:color w:val="auto"/>
                <w:kern w:val="0"/>
                <w:szCs w:val="21"/>
                <w:u w:val="single"/>
              </w:rPr>
              <w:t xml:space="preserve">00 </w:t>
            </w:r>
            <w:r>
              <w:rPr>
                <w:rFonts w:hint="eastAsia" w:ascii="宋体" w:hAnsi="宋体"/>
                <w:snapToGrid w:val="0"/>
                <w:color w:val="auto"/>
                <w:kern w:val="0"/>
                <w:szCs w:val="21"/>
              </w:rPr>
              <w:t>万元人民币；</w:t>
            </w:r>
          </w:p>
          <w:p>
            <w:pPr>
              <w:adjustRightInd w:val="0"/>
              <w:snapToGrid w:val="0"/>
              <w:spacing w:before="120"/>
              <w:rPr>
                <w:rFonts w:ascii="宋体" w:hAnsi="宋体"/>
                <w:snapToGrid w:val="0"/>
                <w:color w:val="auto"/>
                <w:kern w:val="0"/>
                <w:szCs w:val="21"/>
              </w:rPr>
            </w:pPr>
            <w:r>
              <w:rPr>
                <w:rFonts w:hint="eastAsia" w:ascii="宋体" w:hAnsi="宋体"/>
                <w:snapToGrid w:val="0"/>
                <w:color w:val="auto"/>
                <w:kern w:val="0"/>
                <w:szCs w:val="21"/>
              </w:rPr>
              <w:t>3、近三</w:t>
            </w:r>
            <w:r>
              <w:rPr>
                <w:rFonts w:ascii="宋体" w:hAnsi="宋体"/>
                <w:snapToGrid w:val="0"/>
                <w:color w:val="auto"/>
                <w:kern w:val="0"/>
                <w:szCs w:val="21"/>
              </w:rPr>
              <w:t>年</w:t>
            </w:r>
            <w:r>
              <w:rPr>
                <w:rFonts w:hint="eastAsia" w:ascii="宋体" w:hAnsi="宋体"/>
                <w:snapToGrid w:val="0"/>
                <w:color w:val="auto"/>
                <w:kern w:val="0"/>
                <w:szCs w:val="21"/>
              </w:rPr>
              <w:t>度的平均营业总收入不少于</w:t>
            </w:r>
            <w:r>
              <w:rPr>
                <w:rFonts w:hint="eastAsia" w:ascii="宋体" w:hAnsi="宋体"/>
                <w:snapToGrid w:val="0"/>
                <w:color w:val="auto"/>
                <w:kern w:val="0"/>
                <w:szCs w:val="21"/>
                <w:u w:val="single"/>
                <w:lang w:val="en-US" w:eastAsia="zh-CN"/>
              </w:rPr>
              <w:t>800</w:t>
            </w:r>
            <w:r>
              <w:rPr>
                <w:rFonts w:hint="eastAsia" w:ascii="宋体" w:hAnsi="宋体"/>
                <w:snapToGrid w:val="0"/>
                <w:color w:val="auto"/>
                <w:kern w:val="0"/>
                <w:szCs w:val="21"/>
              </w:rPr>
              <w:t>万</w:t>
            </w:r>
            <w:r>
              <w:rPr>
                <w:rFonts w:ascii="宋体" w:hAnsi="宋体"/>
                <w:snapToGrid w:val="0"/>
                <w:color w:val="auto"/>
                <w:kern w:val="0"/>
                <w:szCs w:val="21"/>
              </w:rPr>
              <w:t xml:space="preserve">元人民币； </w:t>
            </w:r>
          </w:p>
          <w:p>
            <w:pPr>
              <w:adjustRightInd w:val="0"/>
              <w:snapToGrid w:val="0"/>
              <w:spacing w:before="120"/>
              <w:rPr>
                <w:rFonts w:hint="eastAsia" w:ascii="宋体" w:hAnsi="宋体"/>
                <w:color w:val="auto"/>
                <w:szCs w:val="21"/>
              </w:rPr>
            </w:pPr>
            <w:r>
              <w:rPr>
                <w:rFonts w:hint="eastAsia" w:ascii="宋体" w:hAnsi="宋体"/>
                <w:snapToGrid w:val="0"/>
                <w:color w:val="auto"/>
                <w:kern w:val="0"/>
                <w:szCs w:val="21"/>
              </w:rPr>
              <w:t>4、近三</w:t>
            </w:r>
            <w:r>
              <w:rPr>
                <w:rFonts w:ascii="宋体" w:hAnsi="宋体"/>
                <w:snapToGrid w:val="0"/>
                <w:color w:val="auto"/>
                <w:kern w:val="0"/>
                <w:szCs w:val="21"/>
              </w:rPr>
              <w:t>年中至少有</w:t>
            </w:r>
            <w:r>
              <w:rPr>
                <w:rFonts w:hint="eastAsia" w:ascii="宋体" w:hAnsi="宋体"/>
                <w:snapToGrid w:val="0"/>
                <w:color w:val="auto"/>
                <w:kern w:val="0"/>
                <w:szCs w:val="21"/>
              </w:rPr>
              <w:t>一</w:t>
            </w:r>
            <w:r>
              <w:rPr>
                <w:rFonts w:ascii="宋体" w:hAnsi="宋体"/>
                <w:snapToGrid w:val="0"/>
                <w:color w:val="auto"/>
                <w:kern w:val="0"/>
                <w:szCs w:val="21"/>
              </w:rPr>
              <w:t>年盈利。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1" w:hRule="atLeast"/>
        </w:trPr>
        <w:tc>
          <w:tcPr>
            <w:tcW w:w="9597" w:type="dxa"/>
            <w:tcBorders>
              <w:top w:val="single" w:color="auto" w:sz="4" w:space="0"/>
            </w:tcBorders>
            <w:vAlign w:val="center"/>
          </w:tcPr>
          <w:p>
            <w:pPr>
              <w:adjustRightInd w:val="0"/>
              <w:snapToGrid w:val="0"/>
              <w:spacing w:before="120"/>
              <w:rPr>
                <w:rFonts w:hint="eastAsia" w:ascii="宋体" w:hAnsi="宋体"/>
                <w:snapToGrid w:val="0"/>
                <w:color w:val="auto"/>
                <w:kern w:val="0"/>
                <w:szCs w:val="21"/>
              </w:rPr>
            </w:pPr>
            <w:r>
              <w:rPr>
                <w:rFonts w:hint="eastAsia" w:ascii="宋体" w:hAnsi="宋体"/>
                <w:snapToGrid w:val="0"/>
                <w:color w:val="auto"/>
                <w:kern w:val="0"/>
                <w:szCs w:val="21"/>
              </w:rPr>
              <w:t>注：1、企业净资产、营运资金是按201</w:t>
            </w:r>
            <w:r>
              <w:rPr>
                <w:rFonts w:hint="eastAsia" w:ascii="宋体" w:hAnsi="宋体"/>
                <w:snapToGrid w:val="0"/>
                <w:color w:val="auto"/>
                <w:kern w:val="0"/>
                <w:szCs w:val="21"/>
                <w:lang w:val="en-US" w:eastAsia="zh-CN"/>
              </w:rPr>
              <w:t>6</w:t>
            </w:r>
            <w:r>
              <w:rPr>
                <w:rFonts w:hint="eastAsia" w:ascii="宋体" w:hAnsi="宋体"/>
                <w:snapToGrid w:val="0"/>
                <w:color w:val="auto"/>
                <w:kern w:val="0"/>
                <w:szCs w:val="21"/>
              </w:rPr>
              <w:t xml:space="preserve">年度经审计的财务报表计算得出。 </w:t>
            </w:r>
          </w:p>
          <w:p>
            <w:pPr>
              <w:adjustRightInd w:val="0"/>
              <w:snapToGrid w:val="0"/>
              <w:spacing w:before="120"/>
              <w:ind w:firstLine="420" w:firstLineChars="200"/>
              <w:rPr>
                <w:rFonts w:hint="eastAsia" w:ascii="宋体" w:hAnsi="宋体"/>
                <w:snapToGrid w:val="0"/>
                <w:color w:val="auto"/>
                <w:kern w:val="0"/>
                <w:szCs w:val="21"/>
              </w:rPr>
            </w:pPr>
            <w:r>
              <w:rPr>
                <w:rFonts w:hint="eastAsia" w:ascii="宋体" w:hAnsi="宋体"/>
                <w:snapToGrid w:val="0"/>
                <w:color w:val="auto"/>
                <w:kern w:val="0"/>
                <w:szCs w:val="21"/>
              </w:rPr>
              <w:t>2、近三年度(是指201</w:t>
            </w:r>
            <w:r>
              <w:rPr>
                <w:rFonts w:hint="eastAsia" w:ascii="宋体" w:hAnsi="宋体"/>
                <w:snapToGrid w:val="0"/>
                <w:color w:val="auto"/>
                <w:kern w:val="0"/>
                <w:szCs w:val="21"/>
                <w:lang w:val="en-US" w:eastAsia="zh-CN"/>
              </w:rPr>
              <w:t>4</w:t>
            </w:r>
            <w:r>
              <w:rPr>
                <w:rFonts w:hint="eastAsia" w:ascii="宋体" w:hAnsi="宋体"/>
                <w:snapToGrid w:val="0"/>
                <w:color w:val="auto"/>
                <w:kern w:val="0"/>
                <w:szCs w:val="21"/>
              </w:rPr>
              <w:t>至201</w:t>
            </w:r>
            <w:r>
              <w:rPr>
                <w:rFonts w:hint="eastAsia" w:ascii="宋体" w:hAnsi="宋体"/>
                <w:snapToGrid w:val="0"/>
                <w:color w:val="auto"/>
                <w:kern w:val="0"/>
                <w:szCs w:val="21"/>
                <w:lang w:val="en-US" w:eastAsia="zh-CN"/>
              </w:rPr>
              <w:t>6</w:t>
            </w:r>
            <w:r>
              <w:rPr>
                <w:rFonts w:hint="eastAsia" w:ascii="宋体" w:hAnsi="宋体"/>
                <w:snapToGrid w:val="0"/>
                <w:color w:val="auto"/>
                <w:kern w:val="0"/>
                <w:szCs w:val="21"/>
              </w:rPr>
              <w:t>年)财务信息以投标人提供的“全国公路建设市场信用信息管理系统”企业所填的信息截图为准，且还需提供201</w:t>
            </w:r>
            <w:r>
              <w:rPr>
                <w:rFonts w:hint="eastAsia" w:ascii="宋体" w:hAnsi="宋体"/>
                <w:snapToGrid w:val="0"/>
                <w:color w:val="auto"/>
                <w:kern w:val="0"/>
                <w:szCs w:val="21"/>
                <w:lang w:val="en-US" w:eastAsia="zh-CN"/>
              </w:rPr>
              <w:t>6</w:t>
            </w:r>
            <w:r>
              <w:rPr>
                <w:rFonts w:hint="eastAsia" w:ascii="宋体" w:hAnsi="宋体"/>
                <w:snapToGrid w:val="0"/>
                <w:color w:val="auto"/>
                <w:kern w:val="0"/>
                <w:szCs w:val="21"/>
              </w:rPr>
              <w:t>年度经会计师事务所或审计机构审计的财务审计意见（报告），主要提供（不限于）资产负债表、现金流量表、利润表的复印件。</w:t>
            </w:r>
          </w:p>
        </w:tc>
      </w:tr>
    </w:tbl>
    <w:p>
      <w:pPr>
        <w:jc w:val="center"/>
        <w:rPr>
          <w:rFonts w:hint="eastAsia" w:ascii="黑体" w:eastAsia="黑体"/>
          <w:b/>
          <w:bCs/>
          <w:color w:val="auto"/>
          <w:kern w:val="44"/>
          <w:sz w:val="28"/>
          <w:szCs w:val="28"/>
        </w:rPr>
      </w:pPr>
    </w:p>
    <w:p>
      <w:pPr>
        <w:jc w:val="center"/>
        <w:rPr>
          <w:rFonts w:hint="eastAsia" w:ascii="隶书" w:hAnsi="宋体" w:eastAsia="隶书"/>
          <w:color w:val="auto"/>
          <w:sz w:val="24"/>
          <w:vertAlign w:val="superscript"/>
        </w:rPr>
      </w:pPr>
      <w:r>
        <w:rPr>
          <w:rFonts w:hint="eastAsia" w:ascii="黑体" w:eastAsia="黑体"/>
          <w:b/>
          <w:bCs/>
          <w:color w:val="auto"/>
          <w:kern w:val="44"/>
          <w:sz w:val="28"/>
          <w:szCs w:val="28"/>
        </w:rPr>
        <w:t>附录3   资格审查条件</w:t>
      </w:r>
      <w:r>
        <w:rPr>
          <w:rFonts w:hint="eastAsia" w:ascii="宋体" w:hAnsi="宋体"/>
          <w:snapToGrid w:val="0"/>
          <w:color w:val="auto"/>
          <w:kern w:val="0"/>
        </w:rPr>
        <w:t>（业绩最低要求）</w:t>
      </w:r>
    </w:p>
    <w:tbl>
      <w:tblPr>
        <w:tblStyle w:val="3"/>
        <w:tblW w:w="961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61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3" w:hRule="atLeast"/>
        </w:trPr>
        <w:tc>
          <w:tcPr>
            <w:tcW w:w="9619" w:type="dxa"/>
            <w:vAlign w:val="center"/>
          </w:tcPr>
          <w:p>
            <w:pPr>
              <w:jc w:val="center"/>
              <w:rPr>
                <w:rFonts w:hint="eastAsia" w:ascii="宋体" w:hAnsi="宋体"/>
                <w:color w:val="auto"/>
                <w:szCs w:val="21"/>
              </w:rPr>
            </w:pPr>
            <w:r>
              <w:rPr>
                <w:rFonts w:hint="eastAsia" w:ascii="宋体" w:hAnsi="宋体"/>
                <w:color w:val="auto"/>
                <w:szCs w:val="21"/>
              </w:rPr>
              <w:t>业 绩 要 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64" w:hRule="atLeast"/>
        </w:trPr>
        <w:tc>
          <w:tcPr>
            <w:tcW w:w="9619" w:type="dxa"/>
            <w:tcBorders>
              <w:bottom w:val="single" w:color="auto" w:sz="4" w:space="0"/>
            </w:tcBorders>
            <w:vAlign w:val="center"/>
          </w:tcPr>
          <w:p>
            <w:pPr>
              <w:spacing w:line="380" w:lineRule="exact"/>
              <w:rPr>
                <w:rFonts w:hint="eastAsia" w:ascii="宋体" w:hAnsi="宋体"/>
                <w:snapToGrid w:val="0"/>
                <w:color w:val="auto"/>
                <w:kern w:val="0"/>
                <w:szCs w:val="21"/>
              </w:rPr>
            </w:pPr>
            <w:r>
              <w:rPr>
                <w:rFonts w:hint="eastAsia" w:ascii="宋体" w:hAnsi="宋体"/>
                <w:snapToGrid w:val="0"/>
                <w:color w:val="auto"/>
                <w:kern w:val="0"/>
                <w:szCs w:val="21"/>
              </w:rPr>
              <w:t>近五年内，成功地完成类似工程：</w:t>
            </w:r>
          </w:p>
          <w:p>
            <w:pPr>
              <w:spacing w:line="380" w:lineRule="exact"/>
              <w:ind w:firstLine="420" w:firstLineChars="200"/>
              <w:rPr>
                <w:rFonts w:hint="eastAsia" w:ascii="宋体" w:hAnsi="宋体"/>
                <w:snapToGrid w:val="0"/>
                <w:color w:val="auto"/>
                <w:kern w:val="0"/>
                <w:szCs w:val="21"/>
              </w:rPr>
            </w:pPr>
            <w:r>
              <w:rPr>
                <w:rFonts w:hint="eastAsia" w:ascii="宋体" w:hAnsi="宋体"/>
                <w:snapToGrid w:val="0"/>
                <w:color w:val="auto"/>
                <w:kern w:val="0"/>
                <w:szCs w:val="21"/>
              </w:rPr>
              <w:t>1、公路路面工程至少完成1个标段；</w:t>
            </w:r>
          </w:p>
          <w:p>
            <w:pPr>
              <w:spacing w:line="380" w:lineRule="exact"/>
              <w:ind w:firstLine="420" w:firstLineChars="200"/>
              <w:rPr>
                <w:rFonts w:hint="eastAsia" w:ascii="宋体" w:hAnsi="宋体"/>
                <w:snapToGrid w:val="0"/>
                <w:color w:val="auto"/>
                <w:kern w:val="0"/>
                <w:szCs w:val="21"/>
              </w:rPr>
            </w:pPr>
            <w:r>
              <w:rPr>
                <w:rFonts w:hint="eastAsia" w:ascii="宋体" w:hAnsi="宋体"/>
                <w:snapToGrid w:val="0"/>
                <w:color w:val="auto"/>
                <w:kern w:val="0"/>
                <w:szCs w:val="21"/>
              </w:rPr>
              <w:t>2、且累计全长达到</w:t>
            </w:r>
            <w:r>
              <w:rPr>
                <w:rFonts w:hint="eastAsia" w:ascii="宋体" w:hAnsi="宋体"/>
                <w:snapToGrid w:val="0"/>
                <w:color w:val="auto"/>
                <w:kern w:val="0"/>
                <w:szCs w:val="21"/>
                <w:lang w:val="en-US" w:eastAsia="zh-CN"/>
              </w:rPr>
              <w:t>10</w:t>
            </w:r>
            <w:r>
              <w:rPr>
                <w:rFonts w:hint="eastAsia" w:ascii="宋体" w:hAnsi="宋体"/>
                <w:snapToGrid w:val="0"/>
                <w:color w:val="auto"/>
                <w:kern w:val="0"/>
                <w:szCs w:val="21"/>
              </w:rPr>
              <w:t>km或以上。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9619" w:type="dxa"/>
            <w:tcBorders>
              <w:top w:val="single" w:color="auto" w:sz="4" w:space="0"/>
            </w:tcBorders>
            <w:vAlign w:val="center"/>
          </w:tcPr>
          <w:p>
            <w:pPr>
              <w:spacing w:line="380" w:lineRule="exact"/>
              <w:rPr>
                <w:rFonts w:hint="eastAsia" w:ascii="宋体" w:hAnsi="宋体"/>
                <w:snapToGrid w:val="0"/>
                <w:color w:val="auto"/>
                <w:kern w:val="0"/>
                <w:szCs w:val="21"/>
              </w:rPr>
            </w:pPr>
            <w:r>
              <w:rPr>
                <w:rFonts w:hint="eastAsia" w:ascii="宋体" w:hAnsi="宋体"/>
                <w:snapToGrid w:val="0"/>
                <w:color w:val="auto"/>
                <w:kern w:val="0"/>
                <w:szCs w:val="21"/>
              </w:rPr>
              <w:t>注：1、本表中的“近五年内”，是指从2012年1月1日至投标文件递交之日止（下同）；</w:t>
            </w:r>
          </w:p>
          <w:p>
            <w:pPr>
              <w:spacing w:line="380" w:lineRule="exact"/>
              <w:ind w:firstLine="420" w:firstLineChars="200"/>
              <w:rPr>
                <w:rFonts w:hint="eastAsia" w:ascii="宋体" w:hAnsi="宋体"/>
                <w:snapToGrid w:val="0"/>
                <w:color w:val="auto"/>
                <w:kern w:val="0"/>
                <w:szCs w:val="21"/>
              </w:rPr>
            </w:pPr>
            <w:r>
              <w:rPr>
                <w:rFonts w:hint="eastAsia" w:ascii="宋体" w:hAnsi="宋体"/>
                <w:snapToGrid w:val="0"/>
                <w:color w:val="auto"/>
                <w:kern w:val="0"/>
                <w:szCs w:val="21"/>
              </w:rPr>
              <w:t>2、工程业绩信息来源于“全国公路建设市场信用信息管理系统”（下称“全国信用系统”）中的相应页面，需附以下证明材料：</w:t>
            </w:r>
          </w:p>
          <w:p>
            <w:pPr>
              <w:spacing w:line="380" w:lineRule="exact"/>
              <w:ind w:firstLine="420" w:firstLineChars="200"/>
              <w:rPr>
                <w:rFonts w:hint="eastAsia" w:ascii="宋体" w:hAnsi="宋体"/>
                <w:snapToGrid w:val="0"/>
                <w:color w:val="auto"/>
                <w:kern w:val="0"/>
                <w:szCs w:val="21"/>
              </w:rPr>
            </w:pPr>
            <w:r>
              <w:rPr>
                <w:rFonts w:hint="eastAsia" w:ascii="宋体" w:hAnsi="宋体"/>
                <w:snapToGrid w:val="0"/>
                <w:color w:val="auto"/>
                <w:kern w:val="0"/>
                <w:szCs w:val="21"/>
              </w:rPr>
              <w:t>（1）汇总表（黑色或者绿色部分）网页屏幕打印资料；</w:t>
            </w:r>
          </w:p>
          <w:p>
            <w:pPr>
              <w:spacing w:line="380" w:lineRule="exact"/>
              <w:ind w:firstLine="420" w:firstLineChars="200"/>
              <w:rPr>
                <w:rFonts w:hint="eastAsia" w:ascii="宋体" w:hAnsi="宋体"/>
                <w:snapToGrid w:val="0"/>
                <w:color w:val="auto"/>
                <w:kern w:val="0"/>
                <w:szCs w:val="21"/>
              </w:rPr>
            </w:pPr>
            <w:r>
              <w:rPr>
                <w:rFonts w:hint="eastAsia" w:ascii="宋体" w:hAnsi="宋体"/>
                <w:snapToGrid w:val="0"/>
                <w:color w:val="auto"/>
                <w:kern w:val="0"/>
                <w:szCs w:val="21"/>
              </w:rPr>
              <w:t>（2）分项明细表网页屏幕打印资料。以经交通运输主管部门审核或填写的信息为准，能体现投标人须知前附表附录 3 或者评审办法评分标准所提出的各项指标进行描述，如果网上数据不足以反映出全部业绩指标的内容，业绩审查时将不予认定。</w:t>
            </w:r>
          </w:p>
          <w:p>
            <w:pPr>
              <w:spacing w:line="380" w:lineRule="exact"/>
              <w:ind w:firstLine="420" w:firstLineChars="200"/>
              <w:rPr>
                <w:rFonts w:hint="eastAsia" w:ascii="宋体" w:hAnsi="宋体"/>
                <w:snapToGrid w:val="0"/>
                <w:color w:val="auto"/>
                <w:kern w:val="0"/>
                <w:szCs w:val="21"/>
              </w:rPr>
            </w:pPr>
            <w:r>
              <w:rPr>
                <w:rFonts w:hint="eastAsia" w:ascii="宋体" w:hAnsi="宋体"/>
                <w:snapToGrid w:val="0"/>
                <w:color w:val="auto"/>
                <w:kern w:val="0"/>
                <w:szCs w:val="21"/>
              </w:rPr>
              <w:t>3、本表所指的业绩为投标人独立完成的业绩，联合体业绩不予认可。</w:t>
            </w:r>
          </w:p>
        </w:tc>
      </w:tr>
    </w:tbl>
    <w:p>
      <w:pPr>
        <w:jc w:val="center"/>
        <w:rPr>
          <w:rFonts w:hint="eastAsia" w:ascii="黑体" w:eastAsia="黑体"/>
          <w:b/>
          <w:bCs/>
          <w:color w:val="auto"/>
          <w:kern w:val="44"/>
          <w:sz w:val="30"/>
          <w:szCs w:val="30"/>
        </w:rPr>
      </w:pPr>
      <w:r>
        <w:rPr>
          <w:rFonts w:hint="eastAsia" w:ascii="黑体" w:eastAsia="黑体"/>
          <w:b/>
          <w:bCs/>
          <w:color w:val="auto"/>
          <w:kern w:val="44"/>
          <w:sz w:val="28"/>
          <w:szCs w:val="28"/>
        </w:rPr>
        <w:t>附录4   资格审查条件</w:t>
      </w:r>
      <w:r>
        <w:rPr>
          <w:rFonts w:hint="eastAsia" w:ascii="宋体" w:hAnsi="宋体"/>
          <w:snapToGrid w:val="0"/>
          <w:color w:val="auto"/>
          <w:kern w:val="0"/>
        </w:rPr>
        <w:t>（信誉最低要求）</w:t>
      </w:r>
    </w:p>
    <w:tbl>
      <w:tblPr>
        <w:tblStyle w:val="3"/>
        <w:tblW w:w="964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64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3" w:hRule="atLeast"/>
        </w:trPr>
        <w:tc>
          <w:tcPr>
            <w:tcW w:w="9640" w:type="dxa"/>
            <w:vAlign w:val="center"/>
          </w:tcPr>
          <w:p>
            <w:pPr>
              <w:jc w:val="center"/>
              <w:rPr>
                <w:rFonts w:hint="eastAsia" w:ascii="宋体" w:hAnsi="宋体"/>
                <w:color w:val="auto"/>
                <w:szCs w:val="21"/>
              </w:rPr>
            </w:pPr>
            <w:r>
              <w:rPr>
                <w:rFonts w:hint="eastAsia" w:ascii="宋体" w:hAnsi="宋体"/>
                <w:color w:val="auto"/>
                <w:szCs w:val="21"/>
              </w:rPr>
              <w:t>信 誉 要 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1" w:hRule="atLeast"/>
        </w:trPr>
        <w:tc>
          <w:tcPr>
            <w:tcW w:w="9640" w:type="dxa"/>
            <w:vAlign w:val="center"/>
          </w:tcPr>
          <w:p>
            <w:pPr>
              <w:spacing w:line="480" w:lineRule="exact"/>
              <w:rPr>
                <w:rFonts w:hint="eastAsia"/>
                <w:color w:val="auto"/>
              </w:rPr>
            </w:pPr>
            <w:r>
              <w:rPr>
                <w:rFonts w:hint="eastAsia"/>
                <w:color w:val="auto"/>
              </w:rPr>
              <w:t>1、没有正受到被责令停产停业的行政处罚或财务被接管、冻结、破产状态；</w:t>
            </w:r>
          </w:p>
          <w:p>
            <w:pPr>
              <w:spacing w:line="480" w:lineRule="exact"/>
              <w:rPr>
                <w:rFonts w:hint="eastAsia"/>
                <w:color w:val="auto"/>
              </w:rPr>
            </w:pPr>
            <w:r>
              <w:rPr>
                <w:rFonts w:hint="eastAsia"/>
                <w:color w:val="auto"/>
              </w:rPr>
              <w:t>2、没有被国家住建部或交通运输部或广东省交通运输厅通报且取消相应投标资格（处于有效期内）；</w:t>
            </w:r>
          </w:p>
          <w:p>
            <w:pPr>
              <w:spacing w:line="480" w:lineRule="exact"/>
              <w:rPr>
                <w:rFonts w:hint="eastAsia"/>
                <w:color w:val="auto"/>
              </w:rPr>
            </w:pPr>
            <w:r>
              <w:rPr>
                <w:rFonts w:hint="eastAsia"/>
                <w:color w:val="auto"/>
              </w:rPr>
              <w:t>3、投标人没有涉及正在诉讼的案件，或虽涉及正在诉讼的案件但经评审委员会认定不会对承担本项目造成重大影响。</w:t>
            </w:r>
          </w:p>
          <w:p>
            <w:pPr>
              <w:spacing w:line="480" w:lineRule="exact"/>
              <w:rPr>
                <w:rFonts w:hint="eastAsia"/>
                <w:color w:val="auto"/>
              </w:rPr>
            </w:pPr>
            <w:r>
              <w:rPr>
                <w:rFonts w:hint="eastAsia"/>
                <w:color w:val="auto"/>
              </w:rPr>
              <w:t>4、2015年度在广东省公路水运工程施工企业信用评价中，信用等级未被评为 D 级，初次进入且无广东省最新年度信用评价等级的，在2015年度的全国综合评价结果中未被评为 D 级。</w:t>
            </w:r>
          </w:p>
          <w:p>
            <w:pPr>
              <w:spacing w:line="380" w:lineRule="exact"/>
              <w:rPr>
                <w:rFonts w:hint="eastAsia" w:ascii="新宋体" w:hAnsi="新宋体" w:eastAsia="新宋体"/>
                <w:color w:val="auto"/>
                <w:szCs w:val="21"/>
              </w:rPr>
            </w:pPr>
            <w:r>
              <w:rPr>
                <w:rFonts w:hint="eastAsia"/>
                <w:color w:val="auto"/>
              </w:rPr>
              <w:t>5、</w:t>
            </w:r>
            <w:r>
              <w:rPr>
                <w:rFonts w:hint="eastAsia" w:ascii="新宋体" w:hAnsi="新宋体" w:eastAsia="新宋体"/>
                <w:color w:val="auto"/>
                <w:szCs w:val="21"/>
              </w:rPr>
              <w:t>投标人、投标人的法定代表人、拟委任的项目经理（含备选）、项目总工（含备选），近三年均没有因行贿犯罪而被人民法院判决、裁定生效的行为。（须提供近三年无行贿犯罪记录证明原件，且在递交申请文件时有效。）</w:t>
            </w:r>
          </w:p>
          <w:p>
            <w:pPr>
              <w:spacing w:line="380" w:lineRule="exact"/>
              <w:rPr>
                <w:rFonts w:hint="eastAsia" w:ascii="新宋体" w:hAnsi="新宋体" w:eastAsia="新宋体"/>
                <w:color w:val="auto"/>
                <w:szCs w:val="21"/>
              </w:rPr>
            </w:pPr>
            <w:r>
              <w:rPr>
                <w:rFonts w:hint="eastAsia" w:ascii="新宋体" w:hAnsi="新宋体" w:eastAsia="新宋体"/>
                <w:color w:val="auto"/>
                <w:szCs w:val="21"/>
              </w:rPr>
              <w:t>备注：</w:t>
            </w:r>
          </w:p>
          <w:p>
            <w:pPr>
              <w:spacing w:line="380" w:lineRule="exact"/>
              <w:ind w:firstLine="420" w:firstLineChars="200"/>
              <w:rPr>
                <w:rFonts w:hint="eastAsia" w:ascii="新宋体" w:hAnsi="新宋体" w:eastAsia="新宋体"/>
                <w:color w:val="auto"/>
                <w:szCs w:val="21"/>
              </w:rPr>
            </w:pPr>
            <w:r>
              <w:rPr>
                <w:rFonts w:hint="eastAsia" w:ascii="新宋体" w:hAnsi="新宋体" w:eastAsia="新宋体"/>
                <w:color w:val="auto"/>
                <w:szCs w:val="21"/>
              </w:rPr>
              <w:t>1、信用等级类别应与招标相应的标段类别对应，使用资质对应专业类别的信用等级。</w:t>
            </w:r>
          </w:p>
          <w:p>
            <w:pPr>
              <w:spacing w:line="380" w:lineRule="exact"/>
              <w:rPr>
                <w:rFonts w:hint="eastAsia" w:ascii="宋体" w:hAnsi="宋体"/>
                <w:color w:val="auto"/>
                <w:szCs w:val="21"/>
              </w:rPr>
            </w:pPr>
            <w:r>
              <w:rPr>
                <w:rFonts w:hint="eastAsia" w:ascii="宋体" w:hAnsi="宋体"/>
                <w:color w:val="auto"/>
                <w:szCs w:val="21"/>
              </w:rPr>
              <w:t>　　2、</w:t>
            </w:r>
            <w:r>
              <w:rPr>
                <w:rFonts w:hint="eastAsia" w:ascii="新宋体" w:hAnsi="新宋体" w:eastAsia="新宋体"/>
                <w:color w:val="auto"/>
                <w:szCs w:val="21"/>
              </w:rPr>
              <w:t>近三年无行贿犯罪记录证明应满足</w:t>
            </w:r>
            <w:r>
              <w:rPr>
                <w:rFonts w:hint="eastAsia" w:ascii="宋体" w:hAnsi="宋体"/>
                <w:color w:val="auto"/>
                <w:szCs w:val="21"/>
              </w:rPr>
              <w:t>《广东省交通运输厅关于在交通建设项目招投标中增加行贿犯罪档案查询内容的通知》（粤交基函〔2015〕1556 号）要求查询记录的内容。</w:t>
            </w:r>
          </w:p>
        </w:tc>
      </w:tr>
    </w:tbl>
    <w:p>
      <w:pPr>
        <w:spacing w:before="120" w:after="120"/>
        <w:jc w:val="both"/>
        <w:rPr>
          <w:rFonts w:hint="eastAsia" w:ascii="黑体" w:eastAsia="黑体"/>
          <w:b/>
          <w:bCs/>
          <w:color w:val="auto"/>
          <w:kern w:val="44"/>
          <w:sz w:val="28"/>
          <w:szCs w:val="28"/>
        </w:rPr>
      </w:pPr>
      <w:bookmarkStart w:id="0" w:name="_GoBack"/>
      <w:bookmarkEnd w:id="0"/>
    </w:p>
    <w:p>
      <w:pPr>
        <w:spacing w:before="120" w:after="120"/>
        <w:jc w:val="center"/>
        <w:rPr>
          <w:rFonts w:hint="eastAsia" w:ascii="隶书" w:hAnsi="宋体" w:eastAsia="隶书"/>
          <w:color w:val="auto"/>
          <w:sz w:val="24"/>
          <w:vertAlign w:val="superscript"/>
        </w:rPr>
      </w:pPr>
      <w:r>
        <w:rPr>
          <w:rFonts w:hint="eastAsia" w:ascii="黑体" w:eastAsia="黑体"/>
          <w:b/>
          <w:bCs/>
          <w:color w:val="auto"/>
          <w:kern w:val="44"/>
          <w:sz w:val="28"/>
          <w:szCs w:val="28"/>
        </w:rPr>
        <w:t>附录5   资格审查条件</w:t>
      </w:r>
      <w:r>
        <w:rPr>
          <w:rFonts w:hint="eastAsia" w:ascii="宋体" w:hAnsi="宋体"/>
          <w:snapToGrid w:val="0"/>
          <w:color w:val="auto"/>
          <w:kern w:val="0"/>
        </w:rPr>
        <w:t>（项目经理和项目总工最低要求）</w:t>
      </w:r>
    </w:p>
    <w:tbl>
      <w:tblPr>
        <w:tblStyle w:val="3"/>
        <w:tblW w:w="9651"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51"/>
        <w:gridCol w:w="996"/>
        <w:gridCol w:w="710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98" w:hRule="exact"/>
        </w:trPr>
        <w:tc>
          <w:tcPr>
            <w:tcW w:w="1551" w:type="dxa"/>
            <w:vAlign w:val="center"/>
          </w:tcPr>
          <w:p>
            <w:pPr>
              <w:jc w:val="center"/>
              <w:rPr>
                <w:rFonts w:hint="eastAsia" w:ascii="宋体" w:hAnsi="宋体"/>
                <w:color w:val="auto"/>
                <w:szCs w:val="21"/>
              </w:rPr>
            </w:pPr>
            <w:r>
              <w:rPr>
                <w:rFonts w:hint="eastAsia" w:ascii="宋体" w:hAnsi="宋体"/>
                <w:color w:val="auto"/>
                <w:szCs w:val="21"/>
              </w:rPr>
              <w:t>人  员</w:t>
            </w:r>
          </w:p>
        </w:tc>
        <w:tc>
          <w:tcPr>
            <w:tcW w:w="996" w:type="dxa"/>
            <w:vAlign w:val="center"/>
          </w:tcPr>
          <w:p>
            <w:pPr>
              <w:jc w:val="center"/>
              <w:rPr>
                <w:rFonts w:hint="eastAsia" w:ascii="宋体" w:hAnsi="宋体"/>
                <w:color w:val="auto"/>
                <w:szCs w:val="21"/>
              </w:rPr>
            </w:pPr>
            <w:r>
              <w:rPr>
                <w:rFonts w:hint="eastAsia" w:ascii="宋体" w:hAnsi="宋体"/>
                <w:color w:val="auto"/>
                <w:szCs w:val="21"/>
              </w:rPr>
              <w:t>数  量</w:t>
            </w:r>
          </w:p>
        </w:tc>
        <w:tc>
          <w:tcPr>
            <w:tcW w:w="7104" w:type="dxa"/>
            <w:vAlign w:val="center"/>
          </w:tcPr>
          <w:p>
            <w:pPr>
              <w:jc w:val="center"/>
              <w:rPr>
                <w:rFonts w:hint="eastAsia" w:ascii="宋体" w:hAnsi="宋体"/>
                <w:color w:val="auto"/>
                <w:szCs w:val="21"/>
              </w:rPr>
            </w:pPr>
            <w:r>
              <w:rPr>
                <w:rFonts w:hint="eastAsia" w:ascii="宋体" w:hAnsi="宋体"/>
                <w:color w:val="auto"/>
                <w:szCs w:val="21"/>
              </w:rPr>
              <w:t>资 格 要 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63" w:hRule="atLeast"/>
        </w:trPr>
        <w:tc>
          <w:tcPr>
            <w:tcW w:w="1551" w:type="dxa"/>
            <w:vAlign w:val="center"/>
          </w:tcPr>
          <w:p>
            <w:pPr>
              <w:jc w:val="center"/>
              <w:rPr>
                <w:rFonts w:hint="eastAsia" w:ascii="宋体" w:hAnsi="宋体"/>
                <w:color w:val="auto"/>
                <w:szCs w:val="21"/>
              </w:rPr>
            </w:pPr>
            <w:r>
              <w:rPr>
                <w:rFonts w:hint="eastAsia" w:ascii="宋体" w:hAnsi="宋体"/>
                <w:color w:val="auto"/>
                <w:szCs w:val="21"/>
              </w:rPr>
              <w:t>项目经理</w:t>
            </w:r>
          </w:p>
        </w:tc>
        <w:tc>
          <w:tcPr>
            <w:tcW w:w="996" w:type="dxa"/>
            <w:vAlign w:val="center"/>
          </w:tcPr>
          <w:p>
            <w:pPr>
              <w:jc w:val="center"/>
              <w:rPr>
                <w:rFonts w:hint="eastAsia" w:ascii="宋体" w:hAnsi="宋体"/>
                <w:color w:val="auto"/>
                <w:szCs w:val="21"/>
              </w:rPr>
            </w:pPr>
            <w:r>
              <w:rPr>
                <w:rFonts w:hint="eastAsia" w:ascii="宋体" w:hAnsi="宋体"/>
                <w:color w:val="auto"/>
                <w:szCs w:val="21"/>
              </w:rPr>
              <w:t>1</w:t>
            </w:r>
          </w:p>
        </w:tc>
        <w:tc>
          <w:tcPr>
            <w:tcW w:w="7104" w:type="dxa"/>
            <w:vAlign w:val="center"/>
          </w:tcPr>
          <w:p>
            <w:pPr>
              <w:rPr>
                <w:rFonts w:hint="eastAsia"/>
                <w:color w:val="auto"/>
                <w:szCs w:val="21"/>
              </w:rPr>
            </w:pPr>
            <w:r>
              <w:rPr>
                <w:rFonts w:hint="eastAsia"/>
                <w:color w:val="auto"/>
                <w:szCs w:val="21"/>
              </w:rPr>
              <w:t>工程师，持有住房和城乡建设部颁发的</w:t>
            </w:r>
            <w:r>
              <w:rPr>
                <w:color w:val="auto"/>
                <w:szCs w:val="21"/>
              </w:rPr>
              <w:t>公路专业</w:t>
            </w:r>
            <w:r>
              <w:rPr>
                <w:rFonts w:hint="eastAsia"/>
                <w:color w:val="auto"/>
                <w:szCs w:val="21"/>
              </w:rPr>
              <w:t>贰</w:t>
            </w:r>
            <w:r>
              <w:rPr>
                <w:color w:val="auto"/>
                <w:szCs w:val="21"/>
              </w:rPr>
              <w:t>级</w:t>
            </w:r>
            <w:r>
              <w:rPr>
                <w:rFonts w:hint="eastAsia"/>
                <w:color w:val="auto"/>
                <w:szCs w:val="21"/>
              </w:rPr>
              <w:t>或以上</w:t>
            </w:r>
            <w:r>
              <w:rPr>
                <w:color w:val="auto"/>
                <w:szCs w:val="21"/>
              </w:rPr>
              <w:t>注册建造师</w:t>
            </w:r>
            <w:r>
              <w:rPr>
                <w:rFonts w:hint="eastAsia"/>
                <w:color w:val="auto"/>
                <w:szCs w:val="21"/>
              </w:rPr>
              <w:t>注册</w:t>
            </w:r>
            <w:r>
              <w:rPr>
                <w:color w:val="auto"/>
                <w:szCs w:val="21"/>
              </w:rPr>
              <w:t>证书</w:t>
            </w:r>
            <w:r>
              <w:rPr>
                <w:rFonts w:hint="eastAsia"/>
                <w:color w:val="auto"/>
                <w:szCs w:val="21"/>
              </w:rPr>
              <w:t>，</w:t>
            </w:r>
            <w:r>
              <w:rPr>
                <w:rFonts w:hint="eastAsia" w:ascii="宋体" w:hAnsi="宋体" w:cs="宋体"/>
                <w:color w:val="auto"/>
                <w:kern w:val="21"/>
                <w:szCs w:val="21"/>
              </w:rPr>
              <w:t>广东省外企业须具备壹级建造师注册证书</w:t>
            </w:r>
            <w:r>
              <w:rPr>
                <w:color w:val="auto"/>
                <w:szCs w:val="21"/>
              </w:rPr>
              <w:t>（</w:t>
            </w:r>
            <w:r>
              <w:rPr>
                <w:rFonts w:hint="eastAsia"/>
                <w:color w:val="auto"/>
                <w:szCs w:val="21"/>
              </w:rPr>
              <w:t>均不含临时资格证书</w:t>
            </w:r>
            <w:r>
              <w:rPr>
                <w:color w:val="auto"/>
                <w:szCs w:val="21"/>
              </w:rPr>
              <w:t>），</w:t>
            </w:r>
            <w:r>
              <w:rPr>
                <w:rFonts w:hint="eastAsia"/>
                <w:color w:val="auto"/>
                <w:szCs w:val="21"/>
              </w:rPr>
              <w:t>具有有效安全生产“三类人员”B 类证书。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36" w:hRule="atLeast"/>
        </w:trPr>
        <w:tc>
          <w:tcPr>
            <w:tcW w:w="1551" w:type="dxa"/>
            <w:vAlign w:val="center"/>
          </w:tcPr>
          <w:p>
            <w:pPr>
              <w:jc w:val="center"/>
              <w:rPr>
                <w:rFonts w:hint="eastAsia" w:ascii="宋体" w:hAnsi="宋体"/>
                <w:color w:val="auto"/>
                <w:szCs w:val="21"/>
              </w:rPr>
            </w:pPr>
            <w:r>
              <w:rPr>
                <w:rFonts w:hint="eastAsia" w:ascii="宋体" w:hAnsi="宋体"/>
                <w:color w:val="auto"/>
                <w:szCs w:val="21"/>
              </w:rPr>
              <w:t>项目总工程师</w:t>
            </w:r>
          </w:p>
        </w:tc>
        <w:tc>
          <w:tcPr>
            <w:tcW w:w="996" w:type="dxa"/>
            <w:vAlign w:val="center"/>
          </w:tcPr>
          <w:p>
            <w:pPr>
              <w:jc w:val="center"/>
              <w:rPr>
                <w:rFonts w:hint="eastAsia" w:ascii="宋体" w:hAnsi="宋体"/>
                <w:color w:val="auto"/>
                <w:szCs w:val="21"/>
              </w:rPr>
            </w:pPr>
            <w:r>
              <w:rPr>
                <w:rFonts w:hint="eastAsia" w:ascii="宋体" w:hAnsi="宋体"/>
                <w:color w:val="auto"/>
                <w:szCs w:val="21"/>
              </w:rPr>
              <w:t>1</w:t>
            </w:r>
          </w:p>
        </w:tc>
        <w:tc>
          <w:tcPr>
            <w:tcW w:w="7104" w:type="dxa"/>
            <w:vAlign w:val="center"/>
          </w:tcPr>
          <w:p>
            <w:pPr>
              <w:rPr>
                <w:rFonts w:hint="eastAsia"/>
                <w:color w:val="auto"/>
                <w:szCs w:val="21"/>
              </w:rPr>
            </w:pPr>
            <w:r>
              <w:rPr>
                <w:rFonts w:hint="eastAsia"/>
                <w:color w:val="auto"/>
                <w:szCs w:val="21"/>
              </w:rPr>
              <w:t>路桥工程师</w:t>
            </w:r>
            <w:r>
              <w:rPr>
                <w:color w:val="auto"/>
                <w:szCs w:val="21"/>
              </w:rPr>
              <w:t>，具有</w:t>
            </w:r>
            <w:r>
              <w:rPr>
                <w:rFonts w:hint="eastAsia"/>
                <w:color w:val="auto"/>
                <w:szCs w:val="21"/>
              </w:rPr>
              <w:t>3</w:t>
            </w:r>
            <w:r>
              <w:rPr>
                <w:color w:val="auto"/>
                <w:szCs w:val="21"/>
              </w:rPr>
              <w:t>年工作经验。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404" w:hRule="atLeast"/>
        </w:trPr>
        <w:tc>
          <w:tcPr>
            <w:tcW w:w="9651" w:type="dxa"/>
            <w:gridSpan w:val="3"/>
            <w:vAlign w:val="center"/>
          </w:tcPr>
          <w:p>
            <w:pPr>
              <w:rPr>
                <w:rFonts w:hint="eastAsia"/>
                <w:color w:val="auto"/>
              </w:rPr>
            </w:pPr>
            <w:r>
              <w:rPr>
                <w:rFonts w:hint="eastAsia"/>
                <w:color w:val="auto"/>
              </w:rPr>
              <w:t xml:space="preserve">备注： </w:t>
            </w:r>
          </w:p>
          <w:p>
            <w:pPr>
              <w:ind w:firstLine="420" w:firstLineChars="200"/>
              <w:rPr>
                <w:rFonts w:hint="eastAsia"/>
                <w:color w:val="auto"/>
              </w:rPr>
            </w:pPr>
            <w:r>
              <w:rPr>
                <w:rFonts w:hint="eastAsia"/>
                <w:color w:val="auto"/>
              </w:rPr>
              <w:t>1、项目经理及项目经理备选人所持住房和城乡建设部颁发的相应专业二级或以上注册建造师应注册在投标人所在单位，否则视为无效。根据《关于明确省外二级建造师入粤注册和执业有关问题的通知》（粤建市函〔2011〕218号），在外省参加考试取得二级建造师资格证书并注册的人员暂不能在广东省执业。</w:t>
            </w:r>
          </w:p>
          <w:p>
            <w:pPr>
              <w:ind w:firstLine="420" w:firstLineChars="200"/>
              <w:rPr>
                <w:rFonts w:hint="eastAsia"/>
                <w:color w:val="auto"/>
              </w:rPr>
            </w:pPr>
            <w:r>
              <w:rPr>
                <w:rFonts w:hint="eastAsia"/>
                <w:color w:val="auto"/>
              </w:rPr>
              <w:t>2、人员信息来源于“全国公路建设市场信用信息管理系统”（下称“全国信用系统”）中的相应页面，需按投标文件格式中的拟委任的项目经理和项目总工资历表的备注要求附相关证明材料。</w:t>
            </w:r>
          </w:p>
          <w:p>
            <w:pPr>
              <w:ind w:firstLine="420" w:firstLineChars="200"/>
              <w:rPr>
                <w:color w:val="auto"/>
              </w:rPr>
            </w:pPr>
            <w:r>
              <w:rPr>
                <w:rFonts w:hint="eastAsia"/>
                <w:color w:val="auto"/>
              </w:rPr>
              <w:t>3、在项目施工期间，拟派项目经理的</w:t>
            </w:r>
            <w:r>
              <w:rPr>
                <w:color w:val="auto"/>
              </w:rPr>
              <w:t>建造师</w:t>
            </w:r>
            <w:r>
              <w:rPr>
                <w:rFonts w:hint="eastAsia"/>
                <w:color w:val="auto"/>
              </w:rPr>
              <w:t>注册</w:t>
            </w:r>
            <w:r>
              <w:rPr>
                <w:color w:val="auto"/>
              </w:rPr>
              <w:t>证书</w:t>
            </w:r>
            <w:r>
              <w:rPr>
                <w:rFonts w:hint="eastAsia"/>
                <w:color w:val="auto"/>
              </w:rPr>
              <w:t>原件需放在业主保管，交工验收后退回。</w:t>
            </w:r>
          </w:p>
        </w:tc>
      </w:tr>
    </w:tbl>
    <w:p/>
    <w:sectPr>
      <w:pgSz w:w="11906" w:h="16838"/>
      <w:pgMar w:top="600" w:right="14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ËÎÌå">
    <w:altName w:val="Arial"/>
    <w:panose1 w:val="00000000000000000000"/>
    <w:charset w:val="00"/>
    <w:family w:val="swiss"/>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隶书">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Arial Narrow">
    <w:panose1 w:val="020B0606020202030204"/>
    <w:charset w:val="00"/>
    <w:family w:val="swiss"/>
    <w:pitch w:val="default"/>
    <w:sig w:usb0="00000287" w:usb1="00000800" w:usb2="00000000" w:usb3="00000000" w:csb0="2000009F" w:csb1="DFD70000"/>
  </w:font>
  <w:font w:name="smartSimSun">
    <w:altName w:val="宋体"/>
    <w:panose1 w:val="02010600030101010101"/>
    <w:charset w:val="86"/>
    <w:family w:val="auto"/>
    <w:pitch w:val="default"/>
    <w:sig w:usb0="00000000" w:usb1="00000000" w:usb2="00000000" w:usb3="00000000" w:csb0="00040001" w:csb1="00000000"/>
  </w:font>
  <w:font w:name="smartSimSun">
    <w:altName w:val="Arial Unicode MS"/>
    <w:panose1 w:val="00000000000000000000"/>
    <w:charset w:val="00"/>
    <w:family w:val="auto"/>
    <w:pitch w:val="default"/>
    <w:sig w:usb0="00000000" w:usb1="00000000" w:usb2="00000000" w:usb3="00000000" w:csb0="00040001" w:csb1="00000000"/>
  </w:font>
  <w:font w:name="MingLiU">
    <w:panose1 w:val="02020509000000000000"/>
    <w:charset w:val="88"/>
    <w:family w:val="modern"/>
    <w:pitch w:val="default"/>
    <w:sig w:usb0="A00002FF" w:usb1="28CFFCFA" w:usb2="00000016" w:usb3="00000000" w:csb0="0010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7A68BA"/>
    <w:rsid w:val="127A6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Office_10.1.0.6660_F1E327BC-269C-435d-A152-05C5408002CA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2017-07-17T08:16:00Z</dcterms:created>
  <dc:creator>Administrator</dc:creator>
  <cp:lastModifiedBy>Administrator</cp:lastModifiedBy>
  <dcterms:modified xsi:type="dcterms:W3CDTF">2017-07-17T08:17:40Z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2052-10.1.0.6660</vt:lpwstr>
  </property>
</Properties>
</file>