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spacing w:line="360" w:lineRule="auto"/>
        <w:ind w:right="357"/>
        <w:rPr>
          <w:rFonts w:ascii="Arial" w:hAnsi="Arial"/>
          <w:b/>
          <w:bCs/>
          <w:kern w:val="0"/>
          <w:sz w:val="28"/>
          <w:szCs w:val="28"/>
        </w:rPr>
      </w:pPr>
      <w:r>
        <w:rPr>
          <w:rFonts w:hint="eastAsia" w:ascii="Arial" w:hAnsi="Arial"/>
          <w:b/>
          <w:bCs/>
          <w:kern w:val="0"/>
          <w:sz w:val="28"/>
          <w:szCs w:val="28"/>
        </w:rPr>
        <w:t>罗定市人民</w:t>
      </w:r>
      <w:r>
        <w:rPr>
          <w:rFonts w:hint="eastAsia" w:ascii="Arial" w:hAnsi="Arial"/>
          <w:b/>
          <w:bCs/>
          <w:kern w:val="0"/>
          <w:sz w:val="28"/>
          <w:szCs w:val="28"/>
          <w:lang w:eastAsia="zh-CN"/>
        </w:rPr>
        <w:t>医</w:t>
      </w:r>
      <w:r>
        <w:rPr>
          <w:rFonts w:ascii="Arial" w:hAnsi="Arial"/>
          <w:b/>
          <w:bCs/>
          <w:kern w:val="0"/>
          <w:sz w:val="28"/>
          <w:szCs w:val="28"/>
        </w:rPr>
        <w:t>院</w:t>
      </w:r>
      <w:r>
        <w:rPr>
          <w:rFonts w:hint="eastAsia" w:ascii="Arial" w:hAnsi="Arial"/>
          <w:b/>
          <w:bCs/>
          <w:kern w:val="0"/>
          <w:sz w:val="28"/>
          <w:szCs w:val="28"/>
        </w:rPr>
        <w:t>新院建设</w:t>
      </w:r>
      <w:r>
        <w:rPr>
          <w:rFonts w:ascii="Arial" w:hAnsi="Arial"/>
          <w:b/>
          <w:bCs/>
          <w:kern w:val="0"/>
          <w:sz w:val="28"/>
          <w:szCs w:val="28"/>
        </w:rPr>
        <w:t>项目</w:t>
      </w:r>
      <w:r>
        <w:rPr>
          <w:rFonts w:hint="eastAsia" w:ascii="Arial" w:hAnsi="Arial"/>
          <w:b/>
          <w:bCs/>
          <w:kern w:val="0"/>
          <w:sz w:val="28"/>
          <w:szCs w:val="28"/>
        </w:rPr>
        <w:t>（监理招标）</w:t>
      </w:r>
      <w:r>
        <w:rPr>
          <w:rFonts w:hint="eastAsia" w:ascii="Arial" w:hAnsi="Arial"/>
          <w:b/>
          <w:bCs/>
          <w:kern w:val="0"/>
          <w:sz w:val="28"/>
          <w:szCs w:val="28"/>
          <w:lang w:eastAsia="zh-CN"/>
        </w:rPr>
        <w:t>修正书</w:t>
      </w:r>
      <w:r>
        <w:rPr>
          <w:rFonts w:hint="eastAsia" w:ascii="Arial" w:hAnsi="Arial"/>
          <w:b/>
          <w:bCs/>
          <w:kern w:val="0"/>
          <w:sz w:val="28"/>
          <w:szCs w:val="28"/>
          <w:lang w:val="en-US" w:eastAsia="zh-CN"/>
        </w:rPr>
        <w:t>1号</w:t>
      </w:r>
    </w:p>
    <w:p>
      <w:pPr>
        <w:spacing w:before="31" w:beforeLines="10" w:after="31" w:afterLines="10" w:line="500" w:lineRule="exact"/>
        <w:ind w:left="28" w:leftChars="10" w:right="28" w:rightChars="10" w:firstLine="560" w:firstLineChars="200"/>
        <w:rPr>
          <w:rFonts w:hint="eastAsia" w:ascii="宋体" w:hAnsi="宋体" w:eastAsia="宋体" w:cs="宋体"/>
          <w:kern w:val="0"/>
          <w:szCs w:val="28"/>
        </w:rPr>
      </w:pPr>
      <w:r>
        <w:rPr>
          <w:rFonts w:hint="eastAsia" w:ascii="宋体" w:hAnsi="宋体" w:eastAsia="宋体" w:cs="宋体"/>
          <w:kern w:val="0"/>
          <w:szCs w:val="28"/>
        </w:rPr>
        <w:t>1、招标文件第13页《项目驻场监理机构人员要求一览表》中监理员要求为“经省、自治区、直辖市级监理协会培训考试合格的监理人员（即持监理员或专业监理工程师上岗资格证），均为房屋建筑工程专业；持监理工程师注册证或执业资格证的人员”，而招标文件第64页对应的《原件核对表一览表》提交资料要求为“监理员资格证或监理工程师资格证”，无对应“监理工程</w:t>
      </w:r>
      <w:r>
        <w:rPr>
          <w:rFonts w:hint="eastAsia" w:ascii="宋体" w:hAnsi="宋体" w:cs="宋体"/>
          <w:kern w:val="0"/>
          <w:szCs w:val="28"/>
          <w:lang w:eastAsia="zh-CN"/>
        </w:rPr>
        <w:t>师</w:t>
      </w:r>
      <w:r>
        <w:rPr>
          <w:rFonts w:hint="eastAsia" w:ascii="宋体" w:hAnsi="宋体" w:eastAsia="宋体" w:cs="宋体"/>
          <w:kern w:val="0"/>
          <w:szCs w:val="28"/>
        </w:rPr>
        <w:t>注册证”。</w:t>
      </w:r>
    </w:p>
    <w:p>
      <w:pPr>
        <w:pStyle w:val="2"/>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请问是否为修改为“监理员资格证或监理工程师注册证或监理工程师执业资格证”?</w:t>
      </w:r>
    </w:p>
    <w:p>
      <w:pPr>
        <w:pStyle w:val="2"/>
        <w:ind w:firstLine="0" w:firstLineChars="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答：是，修改为</w:t>
      </w:r>
      <w:r>
        <w:rPr>
          <w:rFonts w:hint="eastAsia" w:ascii="宋体" w:hAnsi="宋体" w:eastAsia="宋体" w:cs="宋体"/>
          <w:kern w:val="0"/>
          <w:sz w:val="28"/>
          <w:szCs w:val="28"/>
        </w:rPr>
        <w:t>“监理员资格证或监理工程师注册证或监理工程师执业资格证”</w:t>
      </w:r>
      <w:r>
        <w:rPr>
          <w:rFonts w:hint="eastAsia" w:ascii="宋体" w:hAnsi="宋体" w:eastAsia="宋体" w:cs="宋体"/>
          <w:kern w:val="0"/>
          <w:sz w:val="28"/>
          <w:szCs w:val="28"/>
          <w:lang w:eastAsia="zh-CN"/>
        </w:rPr>
        <w:t>。</w:t>
      </w:r>
    </w:p>
    <w:p>
      <w:pPr>
        <w:numPr>
          <w:ilvl w:val="0"/>
          <w:numId w:val="1"/>
        </w:numPr>
        <w:spacing w:before="31" w:beforeLines="10" w:after="31" w:afterLines="10" w:line="500" w:lineRule="exact"/>
        <w:ind w:left="28" w:leftChars="10" w:right="28" w:rightChars="10" w:firstLine="560" w:firstLineChars="200"/>
        <w:rPr>
          <w:rFonts w:hint="eastAsia" w:ascii="宋体" w:hAnsi="宋体" w:eastAsia="宋体" w:cs="宋体"/>
          <w:kern w:val="0"/>
          <w:szCs w:val="28"/>
        </w:rPr>
      </w:pPr>
      <w:r>
        <w:rPr>
          <w:rFonts w:hint="eastAsia" w:ascii="宋体" w:hAnsi="宋体" w:eastAsia="宋体" w:cs="宋体"/>
          <w:kern w:val="0"/>
          <w:szCs w:val="28"/>
        </w:rPr>
        <w:t>招标文件第13页《项目驻场监理机构人员要求一览表》中安全监理员是否也可以由“持监理工程师注册证或执业资格证的人员”担任？</w:t>
      </w:r>
    </w:p>
    <w:p>
      <w:pPr>
        <w:numPr>
          <w:ilvl w:val="0"/>
          <w:numId w:val="0"/>
        </w:numPr>
        <w:spacing w:before="31" w:beforeLines="10" w:after="31" w:afterLines="10" w:line="500" w:lineRule="exact"/>
        <w:ind w:right="28" w:rightChars="10"/>
        <w:rPr>
          <w:rFonts w:hint="eastAsia" w:ascii="宋体" w:hAnsi="宋体" w:eastAsia="宋体" w:cs="宋体"/>
          <w:kern w:val="0"/>
          <w:szCs w:val="28"/>
          <w:lang w:eastAsia="zh-CN"/>
        </w:rPr>
      </w:pPr>
      <w:r>
        <w:rPr>
          <w:rFonts w:hint="eastAsia" w:ascii="宋体" w:hAnsi="宋体" w:eastAsia="宋体" w:cs="宋体"/>
          <w:kern w:val="0"/>
          <w:szCs w:val="28"/>
          <w:lang w:eastAsia="zh-CN"/>
        </w:rPr>
        <w:t>答：可以。</w:t>
      </w:r>
    </w:p>
    <w:p>
      <w:pPr>
        <w:numPr>
          <w:ilvl w:val="0"/>
          <w:numId w:val="1"/>
        </w:numPr>
        <w:spacing w:before="31" w:beforeLines="10" w:after="31" w:afterLines="10" w:line="500" w:lineRule="exact"/>
        <w:ind w:left="28" w:leftChars="10" w:right="28" w:rightChars="10" w:firstLine="560" w:firstLineChars="200"/>
        <w:rPr>
          <w:rFonts w:hint="eastAsia" w:ascii="宋体" w:hAnsi="宋体" w:eastAsia="宋体" w:cs="宋体"/>
          <w:kern w:val="0"/>
          <w:szCs w:val="28"/>
        </w:rPr>
      </w:pPr>
      <w:r>
        <w:rPr>
          <w:rFonts w:hint="eastAsia" w:ascii="宋体" w:hAnsi="宋体" w:eastAsia="宋体" w:cs="宋体"/>
          <w:kern w:val="0"/>
          <w:szCs w:val="28"/>
        </w:rPr>
        <w:t>招标文件第60页机电安装工程专业监理工程师综合素质得分条件为“具备高级工程师职称的得2分”，而招标文件第64页《原件核对表一览表》提交资料要求除了高级工程师职称证外，还要提供注册一级建造师证书。请问是否“注册一级建造师证书”删除？</w:t>
      </w:r>
    </w:p>
    <w:p>
      <w:pPr>
        <w:numPr>
          <w:ilvl w:val="0"/>
          <w:numId w:val="0"/>
        </w:numPr>
        <w:spacing w:before="31" w:beforeLines="10" w:after="31" w:afterLines="10" w:line="500" w:lineRule="exact"/>
        <w:ind w:right="28" w:rightChars="10"/>
        <w:rPr>
          <w:rFonts w:hint="eastAsia" w:ascii="宋体" w:hAnsi="宋体" w:eastAsia="宋体" w:cs="宋体"/>
          <w:kern w:val="0"/>
          <w:szCs w:val="28"/>
          <w:lang w:eastAsia="zh-CN"/>
        </w:rPr>
      </w:pPr>
      <w:r>
        <w:rPr>
          <w:rFonts w:hint="eastAsia" w:ascii="宋体" w:hAnsi="宋体" w:eastAsia="宋体" w:cs="宋体"/>
          <w:kern w:val="0"/>
          <w:szCs w:val="28"/>
          <w:lang w:eastAsia="zh-CN"/>
        </w:rPr>
        <w:t>答：是。把</w:t>
      </w:r>
      <w:r>
        <w:rPr>
          <w:rFonts w:hint="eastAsia" w:ascii="宋体" w:hAnsi="宋体" w:eastAsia="宋体" w:cs="宋体"/>
          <w:kern w:val="0"/>
          <w:szCs w:val="28"/>
        </w:rPr>
        <w:t>“注册一级建造师证书”删除</w:t>
      </w:r>
      <w:r>
        <w:rPr>
          <w:rFonts w:hint="eastAsia" w:ascii="宋体" w:hAnsi="宋体" w:eastAsia="宋体" w:cs="宋体"/>
          <w:kern w:val="0"/>
          <w:szCs w:val="28"/>
          <w:lang w:eastAsia="zh-CN"/>
        </w:rPr>
        <w:t>。</w:t>
      </w:r>
    </w:p>
    <w:p>
      <w:pPr>
        <w:spacing w:before="31" w:beforeLines="10" w:after="31" w:afterLines="10" w:line="500" w:lineRule="exact"/>
        <w:ind w:left="28" w:leftChars="10" w:right="28" w:rightChars="10" w:firstLine="560" w:firstLineChars="200"/>
        <w:rPr>
          <w:rFonts w:hint="eastAsia" w:ascii="宋体" w:hAnsi="宋体" w:eastAsia="宋体" w:cs="宋体"/>
          <w:kern w:val="0"/>
          <w:szCs w:val="28"/>
        </w:rPr>
      </w:pPr>
      <w:r>
        <w:rPr>
          <w:rFonts w:hint="eastAsia" w:ascii="宋体" w:hAnsi="宋体" w:eastAsia="宋体" w:cs="宋体"/>
          <w:kern w:val="0"/>
          <w:szCs w:val="28"/>
          <w:lang w:val="en-US" w:eastAsia="zh-CN"/>
        </w:rPr>
        <w:t>4、</w:t>
      </w:r>
      <w:r>
        <w:rPr>
          <w:rFonts w:hint="eastAsia" w:ascii="宋体" w:hAnsi="宋体" w:eastAsia="宋体" w:cs="宋体"/>
          <w:kern w:val="0"/>
          <w:szCs w:val="28"/>
        </w:rPr>
        <w:t>招标文件第59页监理评分综合表中，总监理工程师代表得分第（2）点：自2014年1月1日至今曾获中国建设监理协会评为优秀总监理工程师的得3分；获省级建设监理协会评为优秀总监理工程师的得1分；而64页原件核对表中总监理代表对应核查的原件为优秀监理工程师证书，请明确是核查优秀总监理工程师证书还是优秀监理工程师证书。</w:t>
      </w:r>
    </w:p>
    <w:p>
      <w:pPr>
        <w:spacing w:before="31" w:beforeLines="10" w:after="31" w:afterLines="10" w:line="500" w:lineRule="exact"/>
        <w:ind w:left="28" w:leftChars="10" w:right="28" w:rightChars="10" w:firstLine="560" w:firstLineChars="200"/>
        <w:rPr>
          <w:rFonts w:hint="eastAsia" w:ascii="宋体" w:hAnsi="宋体" w:eastAsia="宋体" w:cs="宋体"/>
          <w:kern w:val="0"/>
          <w:szCs w:val="28"/>
          <w:lang w:eastAsia="zh-CN"/>
        </w:rPr>
      </w:pPr>
      <w:r>
        <w:rPr>
          <w:rFonts w:hint="eastAsia" w:ascii="宋体" w:hAnsi="宋体" w:eastAsia="宋体" w:cs="宋体"/>
          <w:kern w:val="0"/>
          <w:szCs w:val="28"/>
          <w:lang w:eastAsia="zh-CN"/>
        </w:rPr>
        <w:t>答：是</w:t>
      </w:r>
      <w:r>
        <w:rPr>
          <w:rFonts w:hint="eastAsia" w:ascii="宋体" w:hAnsi="宋体" w:eastAsia="宋体" w:cs="宋体"/>
          <w:kern w:val="0"/>
          <w:szCs w:val="28"/>
        </w:rPr>
        <w:t>优秀总监理工程师</w:t>
      </w:r>
      <w:r>
        <w:rPr>
          <w:rFonts w:hint="eastAsia" w:ascii="宋体" w:hAnsi="宋体" w:eastAsia="宋体" w:cs="宋体"/>
          <w:kern w:val="0"/>
          <w:szCs w:val="28"/>
          <w:lang w:eastAsia="zh-CN"/>
        </w:rPr>
        <w:t>。</w:t>
      </w:r>
    </w:p>
    <w:p>
      <w:pPr>
        <w:spacing w:before="31" w:beforeLines="10" w:after="31" w:afterLines="10" w:line="500" w:lineRule="exact"/>
        <w:ind w:left="28" w:leftChars="10" w:right="28" w:rightChars="10" w:firstLine="560" w:firstLineChars="200"/>
        <w:rPr>
          <w:rFonts w:hint="eastAsia" w:ascii="宋体" w:hAnsi="宋体" w:cs="宋体"/>
          <w:kern w:val="0"/>
          <w:szCs w:val="28"/>
          <w:lang w:val="en-US" w:eastAsia="zh-CN"/>
        </w:rPr>
      </w:pPr>
      <w:r>
        <w:rPr>
          <w:rFonts w:hint="eastAsia" w:ascii="宋体" w:hAnsi="宋体" w:cs="宋体"/>
          <w:kern w:val="0"/>
          <w:szCs w:val="28"/>
          <w:lang w:val="en-US" w:eastAsia="zh-CN"/>
        </w:rPr>
        <w:t>5、</w:t>
      </w:r>
      <w:r>
        <w:rPr>
          <w:rFonts w:hint="eastAsia" w:ascii="宋体" w:hAnsi="宋体" w:eastAsia="宋体" w:cs="宋体"/>
          <w:kern w:val="0"/>
          <w:szCs w:val="28"/>
          <w:lang w:val="en-US" w:eastAsia="zh-CN"/>
        </w:rPr>
        <w:t>原招标文件第59页监理评分综合表中“企业管理能力评分标准（1）具备工程咨询甲级资质证书的得4分；（2）具备工程造价咨询资质证书的得4分；（3）具备建筑装饰工程设计专项资质证书的得4分；本项满分为12分。（原件备查）”</w:t>
      </w:r>
      <w:r>
        <w:rPr>
          <w:rFonts w:hint="eastAsia" w:ascii="宋体" w:hAnsi="宋体" w:cs="宋体"/>
          <w:kern w:val="0"/>
          <w:szCs w:val="28"/>
          <w:lang w:val="en-US" w:eastAsia="zh-CN"/>
        </w:rPr>
        <w:t>删除此项分值。“环境监理能力中具备环境监理甲级资格证书的得2分</w:t>
      </w:r>
      <w:r>
        <w:rPr>
          <w:rFonts w:hint="eastAsia" w:ascii="宋体" w:hAnsi="宋体" w:eastAsia="宋体" w:cs="宋体"/>
          <w:kern w:val="0"/>
          <w:szCs w:val="28"/>
          <w:lang w:val="en-US" w:eastAsia="zh-CN"/>
        </w:rPr>
        <w:t>（原件备查）”</w:t>
      </w:r>
      <w:r>
        <w:rPr>
          <w:rFonts w:hint="eastAsia" w:ascii="宋体" w:hAnsi="宋体" w:cs="宋体"/>
          <w:kern w:val="0"/>
          <w:szCs w:val="28"/>
          <w:lang w:val="en-US" w:eastAsia="zh-CN"/>
        </w:rPr>
        <w:t>删除此项分值。招标文件中第15-16页的投标文件组成请根据监理评分综合表的内容相应改变（详见附件监理评分综合表）</w:t>
      </w:r>
    </w:p>
    <w:p>
      <w:pPr>
        <w:spacing w:before="31" w:beforeLines="10" w:after="31" w:afterLines="10" w:line="500" w:lineRule="exact"/>
        <w:ind w:left="28" w:leftChars="10" w:right="28" w:rightChars="10" w:firstLine="560" w:firstLineChars="200"/>
        <w:rPr>
          <w:rFonts w:hint="eastAsia" w:ascii="宋体" w:hAnsi="宋体" w:eastAsia="宋体" w:cs="宋体"/>
          <w:kern w:val="0"/>
          <w:szCs w:val="28"/>
          <w:lang w:val="en-US" w:eastAsia="zh-CN"/>
        </w:rPr>
      </w:pPr>
      <w:r>
        <w:rPr>
          <w:rFonts w:hint="eastAsia" w:ascii="宋体" w:hAnsi="宋体" w:cs="宋体"/>
          <w:kern w:val="0"/>
          <w:szCs w:val="28"/>
          <w:lang w:val="en-US" w:eastAsia="zh-CN"/>
        </w:rPr>
        <w:t>6、</w:t>
      </w:r>
      <w:r>
        <w:rPr>
          <w:rFonts w:hint="eastAsia" w:ascii="宋体" w:hAnsi="宋体" w:eastAsia="宋体" w:cs="宋体"/>
          <w:kern w:val="0"/>
          <w:szCs w:val="28"/>
          <w:lang w:val="en-US" w:eastAsia="zh-CN"/>
        </w:rPr>
        <w:t>原招标文件第24页中“第28点重新招标 28.1通过资格审查的投标人少于5个的；28.2所有投标人的投标文件都不符合招标文件要求或全部被否决的”现修改为：“第28点重新招标 28.1通过资格审查的投标人少于5个的；28.2经评议有效投标的投标人少于3个的；28.3所有投标人的投标文件都不符合招标文件要求或全部被否决的”</w:t>
      </w:r>
      <w:r>
        <w:rPr>
          <w:rFonts w:hint="eastAsia" w:ascii="宋体" w:hAnsi="宋体" w:cs="宋体"/>
          <w:kern w:val="0"/>
          <w:szCs w:val="28"/>
          <w:lang w:val="en-US" w:eastAsia="zh-CN"/>
        </w:rPr>
        <w:t>。</w:t>
      </w:r>
    </w:p>
    <w:p>
      <w:pPr>
        <w:spacing w:before="31" w:beforeLines="10" w:after="31" w:afterLines="10" w:line="500" w:lineRule="exact"/>
        <w:ind w:left="28" w:leftChars="10" w:right="28" w:rightChars="10" w:firstLine="560" w:firstLineChars="200"/>
        <w:rPr>
          <w:rFonts w:hint="eastAsia" w:ascii="宋体" w:hAnsi="宋体" w:eastAsia="宋体" w:cs="宋体"/>
          <w:kern w:val="0"/>
          <w:szCs w:val="28"/>
          <w:lang w:val="en-US" w:eastAsia="zh-CN"/>
        </w:rPr>
      </w:pPr>
      <w:r>
        <w:rPr>
          <w:rFonts w:hint="eastAsia" w:ascii="宋体" w:hAnsi="宋体" w:cs="宋体"/>
          <w:kern w:val="0"/>
          <w:szCs w:val="28"/>
          <w:lang w:val="en-US" w:eastAsia="zh-CN"/>
        </w:rPr>
        <w:t>7、招标文件中“投标文件递交的截止时间（投标截止时间，开标时间）为2017年6月28日9时30分”修正为“投标文件递交的截止时间（投标截止时间，开标时间）为2017年7月13日9时30分”。</w:t>
      </w:r>
    </w:p>
    <w:p>
      <w:pPr>
        <w:rPr>
          <w:rFonts w:hint="eastAsia"/>
          <w:b/>
          <w:bCs/>
          <w:sz w:val="22"/>
          <w:szCs w:val="21"/>
          <w:lang w:eastAsia="zh-CN"/>
        </w:rPr>
      </w:pPr>
    </w:p>
    <w:p>
      <w:pPr>
        <w:rPr>
          <w:rFonts w:hint="eastAsia"/>
          <w:b/>
          <w:bCs/>
          <w:sz w:val="22"/>
          <w:szCs w:val="21"/>
          <w:lang w:eastAsia="zh-CN"/>
        </w:rPr>
      </w:pPr>
      <w:r>
        <w:rPr>
          <w:rFonts w:hint="eastAsia"/>
          <w:b/>
          <w:bCs/>
          <w:sz w:val="22"/>
          <w:szCs w:val="21"/>
          <w:lang w:eastAsia="zh-CN"/>
        </w:rPr>
        <w:t>备注：</w:t>
      </w:r>
    </w:p>
    <w:p>
      <w:pPr>
        <w:rPr>
          <w:rFonts w:hint="eastAsia"/>
          <w:b/>
          <w:bCs/>
          <w:sz w:val="22"/>
          <w:szCs w:val="21"/>
          <w:lang w:eastAsia="zh-CN"/>
        </w:rPr>
      </w:pPr>
      <w:r>
        <w:rPr>
          <w:rFonts w:hint="eastAsia"/>
          <w:b/>
          <w:bCs/>
          <w:sz w:val="22"/>
          <w:szCs w:val="21"/>
          <w:lang w:val="en-US" w:eastAsia="zh-CN"/>
        </w:rPr>
        <w:t>1、</w:t>
      </w:r>
      <w:r>
        <w:rPr>
          <w:rFonts w:hint="eastAsia"/>
          <w:b/>
          <w:bCs/>
          <w:sz w:val="22"/>
          <w:szCs w:val="21"/>
          <w:lang w:eastAsia="zh-CN"/>
        </w:rPr>
        <w:t>如原招标文件与本修正书有不同之处，以本修正书为准。招标文件未变更部份，仍按原招标文件执行，招标人对招标文件的修正和修改作为本招标文件的一部份，与招标文件具有同等的约束力。</w:t>
      </w:r>
    </w:p>
    <w:p>
      <w:pPr>
        <w:rPr>
          <w:rFonts w:hint="eastAsia"/>
          <w:b/>
          <w:bCs/>
          <w:sz w:val="22"/>
          <w:szCs w:val="21"/>
          <w:lang w:val="en-US" w:eastAsia="zh-CN"/>
        </w:rPr>
      </w:pPr>
      <w:r>
        <w:rPr>
          <w:rFonts w:hint="eastAsia"/>
          <w:b/>
          <w:bCs/>
          <w:sz w:val="22"/>
          <w:szCs w:val="21"/>
          <w:lang w:val="en-US" w:eastAsia="zh-CN"/>
        </w:rPr>
        <w:t>2、如各潜在投标单位对本修正书有任何疑问或需本项目前期资料，可直接联系招标代理单位。</w:t>
      </w:r>
    </w:p>
    <w:p>
      <w:pPr>
        <w:numPr>
          <w:ilvl w:val="0"/>
          <w:numId w:val="0"/>
        </w:numPr>
        <w:spacing w:before="31" w:beforeLines="10" w:after="31" w:afterLines="10" w:line="500" w:lineRule="exact"/>
        <w:ind w:right="28" w:rightChars="10"/>
        <w:rPr>
          <w:rFonts w:hint="eastAsia" w:ascii="Arial" w:hAnsi="Arial"/>
          <w:kern w:val="0"/>
          <w:szCs w:val="28"/>
          <w:lang w:val="en-US" w:eastAsia="zh-CN"/>
        </w:rPr>
      </w:pPr>
      <w:r>
        <w:rPr>
          <w:rFonts w:hint="eastAsia" w:ascii="Arial" w:hAnsi="Arial"/>
          <w:kern w:val="0"/>
          <w:szCs w:val="28"/>
          <w:lang w:val="en-US" w:eastAsia="zh-CN"/>
        </w:rPr>
        <w:t xml:space="preserve">                              </w:t>
      </w:r>
    </w:p>
    <w:p>
      <w:pPr>
        <w:numPr>
          <w:ilvl w:val="0"/>
          <w:numId w:val="0"/>
        </w:numPr>
        <w:spacing w:before="31" w:beforeLines="10" w:after="31" w:afterLines="10" w:line="500" w:lineRule="exact"/>
        <w:ind w:right="28" w:rightChars="10"/>
        <w:jc w:val="center"/>
        <w:rPr>
          <w:rFonts w:hint="eastAsia" w:ascii="Arial" w:hAnsi="Arial"/>
          <w:kern w:val="0"/>
          <w:szCs w:val="28"/>
          <w:lang w:val="en-US" w:eastAsia="zh-CN"/>
        </w:rPr>
      </w:pPr>
      <w:r>
        <w:rPr>
          <w:rFonts w:hint="eastAsia" w:ascii="Arial" w:hAnsi="Arial"/>
          <w:kern w:val="0"/>
          <w:szCs w:val="28"/>
          <w:lang w:val="en-US" w:eastAsia="zh-CN"/>
        </w:rPr>
        <w:t xml:space="preserve">                                   罗定市亿康投资有限公司</w:t>
      </w:r>
    </w:p>
    <w:p>
      <w:pPr>
        <w:numPr>
          <w:ilvl w:val="0"/>
          <w:numId w:val="0"/>
        </w:numPr>
        <w:spacing w:before="31" w:beforeLines="10" w:after="31" w:afterLines="10" w:line="500" w:lineRule="exact"/>
        <w:ind w:right="28" w:rightChars="10"/>
        <w:rPr>
          <w:rFonts w:hint="eastAsia" w:ascii="Arial" w:hAnsi="Arial"/>
          <w:kern w:val="0"/>
          <w:szCs w:val="28"/>
          <w:lang w:val="en-US" w:eastAsia="zh-CN"/>
        </w:rPr>
      </w:pPr>
      <w:r>
        <w:rPr>
          <w:rFonts w:hint="eastAsia" w:ascii="Arial" w:hAnsi="Arial"/>
          <w:kern w:val="0"/>
          <w:szCs w:val="28"/>
          <w:lang w:val="en-US" w:eastAsia="zh-CN"/>
        </w:rPr>
        <w:t>                                                       中科高盛咨询集团有限公司</w:t>
      </w:r>
    </w:p>
    <w:p>
      <w:pPr>
        <w:numPr>
          <w:ilvl w:val="0"/>
          <w:numId w:val="0"/>
        </w:numPr>
        <w:spacing w:before="31" w:beforeLines="10" w:after="31" w:afterLines="10" w:line="500" w:lineRule="exact"/>
        <w:ind w:right="28" w:rightChars="10"/>
        <w:rPr>
          <w:rFonts w:hint="eastAsia" w:ascii="Arial" w:hAnsi="Arial"/>
          <w:kern w:val="0"/>
          <w:szCs w:val="28"/>
          <w:lang w:val="en-US" w:eastAsia="zh-CN"/>
        </w:rPr>
      </w:pPr>
      <w:r>
        <w:rPr>
          <w:rFonts w:hint="eastAsia" w:ascii="Arial" w:hAnsi="Arial"/>
          <w:kern w:val="0"/>
          <w:szCs w:val="28"/>
          <w:lang w:val="en-US" w:eastAsia="zh-CN"/>
        </w:rPr>
        <w:t xml:space="preserve">                                    2017年6月14日</w:t>
      </w:r>
    </w:p>
    <w:p/>
    <w:p/>
    <w:p>
      <w:pPr>
        <w:pStyle w:val="2"/>
        <w:ind w:firstLine="0" w:firstLineChars="0"/>
        <w:jc w:val="center"/>
        <w:rPr>
          <w:rFonts w:hint="eastAsia" w:ascii="宋体" w:hAnsi="宋体"/>
          <w:b/>
          <w:bCs/>
          <w:sz w:val="32"/>
          <w:szCs w:val="32"/>
        </w:rPr>
      </w:pPr>
      <w:r>
        <w:rPr>
          <w:rFonts w:hint="eastAsia" w:ascii="宋体" w:hAnsi="宋体"/>
          <w:b/>
          <w:bCs/>
          <w:sz w:val="32"/>
          <w:szCs w:val="32"/>
          <w:lang w:eastAsia="zh-CN"/>
        </w:rPr>
        <w:t>附件一：</w:t>
      </w:r>
      <w:r>
        <w:rPr>
          <w:rFonts w:hint="eastAsia" w:ascii="宋体" w:hAnsi="宋体"/>
          <w:b/>
          <w:bCs/>
          <w:sz w:val="32"/>
          <w:szCs w:val="32"/>
        </w:rPr>
        <w:t>监理评分综合表</w:t>
      </w:r>
    </w:p>
    <w:tbl>
      <w:tblPr>
        <w:tblStyle w:val="8"/>
        <w:tblW w:w="9102" w:type="dxa"/>
        <w:jc w:val="center"/>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22"/>
        <w:gridCol w:w="511"/>
        <w:gridCol w:w="488"/>
        <w:gridCol w:w="1090"/>
        <w:gridCol w:w="627"/>
        <w:gridCol w:w="56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blHeader/>
          <w:jc w:val="center"/>
        </w:trPr>
        <w:tc>
          <w:tcPr>
            <w:tcW w:w="722"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b/>
                <w:sz w:val="24"/>
              </w:rPr>
            </w:pPr>
            <w:r>
              <w:rPr>
                <w:rFonts w:hint="eastAsia" w:ascii="宋体" w:hAnsi="宋体"/>
                <w:b/>
                <w:sz w:val="24"/>
              </w:rPr>
              <w:t>项目</w:t>
            </w:r>
          </w:p>
        </w:tc>
        <w:tc>
          <w:tcPr>
            <w:tcW w:w="999" w:type="dxa"/>
            <w:gridSpan w:val="2"/>
            <w:vAlign w:val="center"/>
          </w:tcPr>
          <w:p>
            <w:pPr>
              <w:snapToGrid w:val="0"/>
              <w:spacing w:before="31" w:beforeLines="10" w:after="31" w:afterLines="10" w:line="300" w:lineRule="exact"/>
              <w:ind w:left="28" w:leftChars="10" w:right="28" w:rightChars="10"/>
              <w:jc w:val="center"/>
              <w:rPr>
                <w:rFonts w:hint="eastAsia" w:ascii="宋体" w:hAnsi="宋体"/>
                <w:b/>
                <w:sz w:val="24"/>
              </w:rPr>
            </w:pPr>
            <w:r>
              <w:rPr>
                <w:rFonts w:hint="eastAsia" w:ascii="宋体" w:hAnsi="宋体"/>
                <w:b/>
                <w:sz w:val="24"/>
              </w:rPr>
              <w:t>分值</w:t>
            </w:r>
          </w:p>
        </w:tc>
        <w:tc>
          <w:tcPr>
            <w:tcW w:w="1717" w:type="dxa"/>
            <w:gridSpan w:val="2"/>
            <w:vMerge w:val="restart"/>
            <w:vAlign w:val="center"/>
          </w:tcPr>
          <w:p>
            <w:pPr>
              <w:snapToGrid w:val="0"/>
              <w:spacing w:before="31" w:beforeLines="10" w:after="31" w:afterLines="10" w:line="300" w:lineRule="exact"/>
              <w:ind w:left="28" w:leftChars="10" w:right="28" w:rightChars="10"/>
              <w:jc w:val="center"/>
              <w:rPr>
                <w:rFonts w:hint="eastAsia" w:ascii="宋体" w:hAnsi="宋体"/>
                <w:b/>
                <w:sz w:val="24"/>
              </w:rPr>
            </w:pPr>
            <w:r>
              <w:rPr>
                <w:rFonts w:hint="eastAsia" w:ascii="宋体" w:hAnsi="宋体"/>
                <w:b/>
                <w:sz w:val="24"/>
              </w:rPr>
              <w:t>分项内容</w:t>
            </w:r>
          </w:p>
        </w:tc>
        <w:tc>
          <w:tcPr>
            <w:tcW w:w="5664"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b/>
                <w:sz w:val="24"/>
              </w:rPr>
            </w:pPr>
            <w:r>
              <w:rPr>
                <w:rFonts w:hint="eastAsia" w:ascii="宋体" w:hAnsi="宋体"/>
                <w:b/>
                <w:sz w:val="24"/>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blHeader/>
          <w:jc w:val="center"/>
        </w:trPr>
        <w:tc>
          <w:tcPr>
            <w:tcW w:w="722" w:type="dxa"/>
            <w:vMerge w:val="continue"/>
            <w:vAlign w:val="center"/>
          </w:tcPr>
          <w:p>
            <w:pPr>
              <w:snapToGrid w:val="0"/>
              <w:spacing w:before="31" w:beforeLines="10" w:after="31" w:afterLines="10" w:line="300" w:lineRule="exact"/>
              <w:ind w:left="28" w:leftChars="10" w:right="28" w:rightChars="10"/>
              <w:jc w:val="left"/>
              <w:rPr>
                <w:rFonts w:ascii="宋体" w:hAnsi="宋体"/>
                <w:sz w:val="24"/>
              </w:rPr>
            </w:pPr>
          </w:p>
        </w:tc>
        <w:tc>
          <w:tcPr>
            <w:tcW w:w="511" w:type="dxa"/>
            <w:vAlign w:val="center"/>
          </w:tcPr>
          <w:p>
            <w:pPr>
              <w:snapToGrid w:val="0"/>
              <w:spacing w:before="31" w:beforeLines="10" w:after="31" w:afterLines="10" w:line="300" w:lineRule="exact"/>
              <w:ind w:left="28" w:leftChars="10" w:right="28" w:rightChars="10"/>
              <w:jc w:val="center"/>
              <w:rPr>
                <w:rFonts w:hint="eastAsia" w:ascii="宋体" w:hAnsi="宋体"/>
                <w:b/>
                <w:sz w:val="24"/>
              </w:rPr>
            </w:pPr>
            <w:r>
              <w:rPr>
                <w:rFonts w:hint="eastAsia" w:ascii="宋体" w:hAnsi="宋体"/>
                <w:b/>
                <w:sz w:val="24"/>
              </w:rPr>
              <w:t>总项</w:t>
            </w: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b/>
                <w:sz w:val="24"/>
              </w:rPr>
            </w:pPr>
            <w:r>
              <w:rPr>
                <w:rFonts w:hint="eastAsia" w:ascii="宋体" w:hAnsi="宋体"/>
                <w:b/>
                <w:sz w:val="24"/>
              </w:rPr>
              <w:t>单项</w:t>
            </w:r>
          </w:p>
        </w:tc>
        <w:tc>
          <w:tcPr>
            <w:tcW w:w="1717" w:type="dxa"/>
            <w:gridSpan w:val="2"/>
            <w:vMerge w:val="continue"/>
            <w:vAlign w:val="center"/>
          </w:tcPr>
          <w:p>
            <w:pPr>
              <w:snapToGrid w:val="0"/>
              <w:spacing w:before="31" w:beforeLines="10" w:after="31" w:afterLines="10" w:line="300" w:lineRule="exact"/>
              <w:ind w:left="28" w:leftChars="10" w:right="28" w:rightChars="10"/>
              <w:jc w:val="center"/>
              <w:rPr>
                <w:rFonts w:ascii="宋体" w:hAnsi="宋体"/>
                <w:sz w:val="24"/>
              </w:rPr>
            </w:pPr>
          </w:p>
        </w:tc>
        <w:tc>
          <w:tcPr>
            <w:tcW w:w="5664" w:type="dxa"/>
            <w:vMerge w:val="continue"/>
            <w:vAlign w:val="center"/>
          </w:tcPr>
          <w:p>
            <w:pPr>
              <w:snapToGrid w:val="0"/>
              <w:spacing w:before="31" w:beforeLines="10" w:after="31" w:afterLines="10" w:line="300" w:lineRule="exact"/>
              <w:ind w:left="28" w:leftChars="10" w:right="28" w:rightChars="10"/>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cs="宋体"/>
                <w:sz w:val="24"/>
              </w:rPr>
              <w:t>企业资质与业绩及管理水平</w:t>
            </w:r>
            <w:r>
              <w:rPr>
                <w:rFonts w:hint="eastAsia" w:ascii="宋体" w:hAnsi="宋体"/>
                <w:sz w:val="24"/>
              </w:rPr>
              <w:t>(一)</w:t>
            </w:r>
          </w:p>
        </w:tc>
        <w:tc>
          <w:tcPr>
            <w:tcW w:w="511"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45</w:t>
            </w: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15</w:t>
            </w:r>
          </w:p>
        </w:tc>
        <w:tc>
          <w:tcPr>
            <w:tcW w:w="1717" w:type="dxa"/>
            <w:gridSpan w:val="2"/>
            <w:vAlign w:val="center"/>
          </w:tcPr>
          <w:p>
            <w:pPr>
              <w:tabs>
                <w:tab w:val="left" w:pos="425"/>
              </w:tabs>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企业监理能力</w:t>
            </w:r>
          </w:p>
        </w:tc>
        <w:tc>
          <w:tcPr>
            <w:tcW w:w="5664" w:type="dxa"/>
            <w:vAlign w:val="center"/>
          </w:tcPr>
          <w:p>
            <w:pPr>
              <w:tabs>
                <w:tab w:val="left" w:pos="425"/>
              </w:tabs>
              <w:spacing w:before="31" w:beforeLines="10" w:after="31" w:afterLines="10" w:line="290" w:lineRule="exact"/>
              <w:ind w:left="28" w:leftChars="10" w:right="28" w:rightChars="10"/>
              <w:jc w:val="left"/>
              <w:rPr>
                <w:rFonts w:hint="eastAsia" w:ascii="宋体" w:hAnsi="宋体" w:cs="宋体"/>
                <w:sz w:val="24"/>
              </w:rPr>
            </w:pPr>
            <w:r>
              <w:rPr>
                <w:rFonts w:hint="eastAsia" w:ascii="宋体" w:hAnsi="宋体" w:cs="宋体"/>
                <w:sz w:val="24"/>
              </w:rPr>
              <w:t>（1）具备机电安装工程监理资质的得5分；</w:t>
            </w:r>
          </w:p>
          <w:p>
            <w:pPr>
              <w:tabs>
                <w:tab w:val="left" w:pos="425"/>
              </w:tabs>
              <w:spacing w:before="31" w:beforeLines="10" w:after="31" w:afterLines="10" w:line="290" w:lineRule="exact"/>
              <w:ind w:left="28" w:leftChars="10" w:right="28" w:rightChars="10"/>
              <w:jc w:val="left"/>
              <w:rPr>
                <w:rFonts w:hint="eastAsia" w:ascii="宋体" w:hAnsi="宋体" w:cs="宋体"/>
                <w:sz w:val="24"/>
              </w:rPr>
            </w:pPr>
            <w:r>
              <w:rPr>
                <w:rFonts w:hint="eastAsia" w:ascii="宋体" w:hAnsi="宋体" w:cs="宋体"/>
                <w:sz w:val="24"/>
              </w:rPr>
              <w:t>（2）具备电力工程监理资质的得5分；</w:t>
            </w:r>
          </w:p>
          <w:p>
            <w:pPr>
              <w:tabs>
                <w:tab w:val="left" w:pos="425"/>
              </w:tabs>
              <w:spacing w:before="31" w:beforeLines="10" w:after="31" w:afterLines="10" w:line="290" w:lineRule="exact"/>
              <w:ind w:left="28" w:leftChars="10" w:right="28" w:rightChars="10"/>
              <w:jc w:val="left"/>
              <w:rPr>
                <w:rFonts w:hint="eastAsia" w:ascii="宋体" w:hAnsi="宋体" w:cs="宋体"/>
                <w:sz w:val="24"/>
              </w:rPr>
            </w:pPr>
            <w:r>
              <w:rPr>
                <w:rFonts w:hint="eastAsia" w:ascii="宋体" w:hAnsi="宋体" w:cs="宋体"/>
                <w:sz w:val="24"/>
              </w:rPr>
              <w:t>（3）具备人防工程监理乙级以上资质的得5分；</w:t>
            </w:r>
          </w:p>
          <w:p>
            <w:pPr>
              <w:tabs>
                <w:tab w:val="left" w:pos="425"/>
              </w:tabs>
              <w:spacing w:before="31" w:beforeLines="10" w:after="31" w:afterLines="10" w:line="290" w:lineRule="exact"/>
              <w:ind w:left="28" w:leftChars="10" w:right="28" w:rightChars="10"/>
              <w:jc w:val="left"/>
              <w:rPr>
                <w:rFonts w:hint="eastAsia" w:ascii="宋体" w:hAnsi="宋体" w:cs="宋体"/>
                <w:sz w:val="24"/>
              </w:rPr>
            </w:pPr>
            <w:r>
              <w:rPr>
                <w:rFonts w:hint="eastAsia" w:ascii="宋体" w:hAnsi="宋体"/>
                <w:sz w:val="24"/>
              </w:rPr>
              <w:t>本项满分为</w:t>
            </w:r>
            <w:r>
              <w:rPr>
                <w:rFonts w:hint="eastAsia" w:ascii="宋体" w:hAnsi="宋体"/>
                <w:sz w:val="24"/>
                <w:lang w:val="en-US" w:eastAsia="zh-CN"/>
              </w:rPr>
              <w:t>15</w:t>
            </w:r>
            <w:r>
              <w:rPr>
                <w:rFonts w:hint="eastAsia" w:ascii="宋体" w:hAnsi="宋体"/>
                <w:sz w:val="24"/>
              </w:rPr>
              <w:t>分</w:t>
            </w:r>
            <w:r>
              <w:rPr>
                <w:rFonts w:hint="eastAsia" w:ascii="宋体" w:hAnsi="宋体" w:cs="宋体"/>
                <w:sz w:val="24"/>
              </w:rPr>
              <w:t>。</w:t>
            </w:r>
            <w:r>
              <w:rPr>
                <w:rFonts w:hint="eastAsia" w:ascii="宋体" w:hAnsi="宋体" w:cs="宋体"/>
                <w:b/>
                <w:bCs/>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10</w:t>
            </w:r>
          </w:p>
        </w:tc>
        <w:tc>
          <w:tcPr>
            <w:tcW w:w="1717" w:type="dxa"/>
            <w:gridSpan w:val="2"/>
            <w:vAlign w:val="center"/>
          </w:tcPr>
          <w:p>
            <w:pPr>
              <w:tabs>
                <w:tab w:val="left" w:pos="425"/>
              </w:tabs>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sz w:val="24"/>
              </w:rPr>
              <w:t>企业财务能力</w:t>
            </w:r>
          </w:p>
        </w:tc>
        <w:tc>
          <w:tcPr>
            <w:tcW w:w="5664" w:type="dxa"/>
            <w:vAlign w:val="center"/>
          </w:tcPr>
          <w:p>
            <w:pPr>
              <w:spacing w:before="31" w:beforeLines="10" w:after="31" w:afterLines="10" w:line="290" w:lineRule="exact"/>
              <w:ind w:right="28" w:rightChars="10"/>
              <w:jc w:val="left"/>
              <w:rPr>
                <w:rFonts w:hint="eastAsia" w:ascii="宋体" w:hAnsi="宋体" w:cs="宋体"/>
                <w:sz w:val="24"/>
              </w:rPr>
            </w:pPr>
            <w:r>
              <w:rPr>
                <w:rFonts w:hint="eastAsia" w:ascii="宋体" w:hAnsi="宋体" w:cs="宋体"/>
                <w:sz w:val="24"/>
              </w:rPr>
              <w:t>注册资金＞5000万元（人民币）得10分；3000万元（人民币）＜注册资金≤5000万元（人民币）得7分；1000万元（人民币）＜注册资金≤3000万元（人民币）得4分；600万元（人民币）＜注册资金≤1000万元（人民币）得1分，注册资金＜600万元（人民币）不得分；</w:t>
            </w:r>
          </w:p>
          <w:p>
            <w:pPr>
              <w:tabs>
                <w:tab w:val="left" w:pos="425"/>
              </w:tabs>
              <w:spacing w:before="31" w:beforeLines="10" w:after="31" w:afterLines="10" w:line="290" w:lineRule="exact"/>
              <w:ind w:left="28" w:leftChars="10" w:right="28" w:rightChars="10"/>
              <w:jc w:val="center"/>
              <w:rPr>
                <w:rFonts w:hint="eastAsia" w:ascii="宋体" w:hAnsi="宋体"/>
                <w:sz w:val="24"/>
              </w:rPr>
            </w:pPr>
            <w:r>
              <w:rPr>
                <w:rFonts w:hint="eastAsia" w:ascii="宋体" w:hAnsi="宋体" w:cs="宋体"/>
                <w:sz w:val="24"/>
              </w:rPr>
              <w:t>本项满分为10分，以营业执照副本为准。</w:t>
            </w:r>
            <w:r>
              <w:rPr>
                <w:rFonts w:hint="eastAsia" w:ascii="宋体" w:hAnsi="宋体" w:cs="宋体"/>
                <w:b/>
                <w:bCs/>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785"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pacing w:val="20"/>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2</w:t>
            </w:r>
          </w:p>
        </w:tc>
        <w:tc>
          <w:tcPr>
            <w:tcW w:w="1717" w:type="dxa"/>
            <w:gridSpan w:val="2"/>
            <w:vAlign w:val="center"/>
          </w:tcPr>
          <w:p>
            <w:pPr>
              <w:tabs>
                <w:tab w:val="left" w:pos="425"/>
              </w:tabs>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类似工程业绩</w:t>
            </w:r>
          </w:p>
        </w:tc>
        <w:tc>
          <w:tcPr>
            <w:tcW w:w="5664" w:type="dxa"/>
            <w:vAlign w:val="center"/>
          </w:tcPr>
          <w:p>
            <w:pPr>
              <w:tabs>
                <w:tab w:val="left" w:pos="425"/>
              </w:tabs>
              <w:spacing w:before="31" w:beforeLines="10" w:after="31" w:afterLines="10" w:line="290" w:lineRule="exact"/>
              <w:ind w:left="28" w:leftChars="10" w:right="28" w:rightChars="10"/>
              <w:rPr>
                <w:rFonts w:hint="eastAsia" w:ascii="宋体" w:hAnsi="宋体"/>
                <w:sz w:val="24"/>
              </w:rPr>
            </w:pPr>
            <w:r>
              <w:rPr>
                <w:rFonts w:ascii="宋体" w:hAnsi="宋体" w:cs="宋体"/>
                <w:sz w:val="24"/>
              </w:rPr>
              <w:t>自201</w:t>
            </w:r>
            <w:r>
              <w:rPr>
                <w:rFonts w:hint="eastAsia" w:ascii="宋体" w:hAnsi="宋体" w:cs="宋体"/>
                <w:sz w:val="24"/>
              </w:rPr>
              <w:t>4</w:t>
            </w:r>
            <w:r>
              <w:rPr>
                <w:rFonts w:ascii="宋体" w:hAnsi="宋体" w:cs="宋体"/>
                <w:sz w:val="24"/>
              </w:rPr>
              <w:t>年1月1日至今，曾</w:t>
            </w:r>
            <w:r>
              <w:rPr>
                <w:rFonts w:hint="eastAsia" w:ascii="宋体" w:hAnsi="宋体" w:cs="宋体"/>
                <w:sz w:val="24"/>
              </w:rPr>
              <w:t>承接过类似工程的</w:t>
            </w:r>
            <w:r>
              <w:rPr>
                <w:rFonts w:ascii="宋体" w:hAnsi="宋体" w:cs="宋体"/>
                <w:sz w:val="24"/>
              </w:rPr>
              <w:t>每个得</w:t>
            </w:r>
            <w:r>
              <w:rPr>
                <w:rFonts w:hint="eastAsia" w:ascii="宋体" w:hAnsi="宋体" w:cs="宋体"/>
                <w:sz w:val="24"/>
              </w:rPr>
              <w:t>2</w:t>
            </w:r>
            <w:r>
              <w:rPr>
                <w:rFonts w:ascii="宋体" w:hAnsi="宋体" w:cs="宋体"/>
                <w:sz w:val="24"/>
              </w:rPr>
              <w:t>分</w:t>
            </w:r>
            <w:r>
              <w:rPr>
                <w:rFonts w:hint="eastAsia" w:ascii="宋体" w:hAnsi="宋体" w:cs="宋体"/>
                <w:sz w:val="24"/>
              </w:rPr>
              <w:t>。</w:t>
            </w:r>
            <w:r>
              <w:rPr>
                <w:rFonts w:ascii="宋体" w:hAnsi="宋体" w:cs="宋体"/>
                <w:sz w:val="24"/>
              </w:rPr>
              <w:t>本项</w:t>
            </w:r>
            <w:r>
              <w:rPr>
                <w:rFonts w:hint="eastAsia" w:ascii="宋体" w:hAnsi="宋体" w:cs="宋体"/>
                <w:sz w:val="24"/>
              </w:rPr>
              <w:t>满</w:t>
            </w:r>
            <w:r>
              <w:rPr>
                <w:rFonts w:ascii="宋体" w:hAnsi="宋体" w:cs="宋体"/>
                <w:sz w:val="24"/>
              </w:rPr>
              <w:t>分</w:t>
            </w:r>
            <w:r>
              <w:rPr>
                <w:rFonts w:hint="eastAsia" w:ascii="宋体" w:hAnsi="宋体" w:cs="宋体"/>
                <w:sz w:val="24"/>
              </w:rPr>
              <w:t>为2分</w:t>
            </w:r>
            <w:r>
              <w:rPr>
                <w:rFonts w:ascii="宋体" w:hAnsi="宋体" w:cs="宋体"/>
                <w:sz w:val="24"/>
              </w:rPr>
              <w:t>；</w:t>
            </w:r>
            <w:r>
              <w:rPr>
                <w:rFonts w:hint="eastAsia" w:ascii="宋体" w:hAnsi="宋体" w:cs="宋体"/>
                <w:b/>
                <w:bCs/>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pacing w:val="20"/>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6</w:t>
            </w:r>
          </w:p>
        </w:tc>
        <w:tc>
          <w:tcPr>
            <w:tcW w:w="1717" w:type="dxa"/>
            <w:gridSpan w:val="2"/>
            <w:vAlign w:val="center"/>
          </w:tcPr>
          <w:p>
            <w:pPr>
              <w:tabs>
                <w:tab w:val="left" w:pos="425"/>
              </w:tabs>
              <w:spacing w:before="31" w:beforeLines="10" w:after="31" w:afterLines="10" w:line="300" w:lineRule="exact"/>
              <w:ind w:left="28" w:leftChars="10" w:right="28" w:rightChars="10"/>
              <w:jc w:val="center"/>
              <w:rPr>
                <w:rFonts w:hint="eastAsia" w:ascii="宋体" w:hAnsi="宋体" w:cs="宋体"/>
                <w:sz w:val="24"/>
              </w:rPr>
            </w:pPr>
            <w:r>
              <w:rPr>
                <w:rFonts w:ascii="宋体" w:hAnsi="宋体" w:cs="宋体"/>
                <w:sz w:val="24"/>
              </w:rPr>
              <w:t>获奖工程业绩</w:t>
            </w:r>
          </w:p>
        </w:tc>
        <w:tc>
          <w:tcPr>
            <w:tcW w:w="5664" w:type="dxa"/>
            <w:vAlign w:val="center"/>
          </w:tcPr>
          <w:p>
            <w:pPr>
              <w:tabs>
                <w:tab w:val="left" w:pos="425"/>
              </w:tabs>
              <w:snapToGrid w:val="0"/>
              <w:spacing w:line="260" w:lineRule="exact"/>
              <w:rPr>
                <w:rFonts w:ascii="宋体" w:hAnsi="宋体" w:cs="宋体"/>
                <w:sz w:val="24"/>
              </w:rPr>
            </w:pPr>
            <w:r>
              <w:rPr>
                <w:rFonts w:hint="eastAsia" w:ascii="宋体" w:hAnsi="宋体" w:cs="宋体"/>
                <w:sz w:val="24"/>
              </w:rPr>
              <w:t>（1）</w:t>
            </w:r>
            <w:r>
              <w:rPr>
                <w:rFonts w:ascii="宋体" w:hAnsi="宋体" w:cs="宋体"/>
                <w:sz w:val="24"/>
              </w:rPr>
              <w:t>自201</w:t>
            </w:r>
            <w:r>
              <w:rPr>
                <w:rFonts w:hint="eastAsia" w:ascii="宋体" w:hAnsi="宋体" w:cs="宋体"/>
                <w:sz w:val="24"/>
              </w:rPr>
              <w:t>4</w:t>
            </w:r>
            <w:r>
              <w:rPr>
                <w:rFonts w:ascii="宋体" w:hAnsi="宋体" w:cs="宋体"/>
                <w:sz w:val="24"/>
              </w:rPr>
              <w:t>年1月1日至今，曾获得国家级</w:t>
            </w:r>
            <w:r>
              <w:rPr>
                <w:rFonts w:hint="eastAsia" w:ascii="宋体" w:hAnsi="宋体" w:cs="宋体"/>
                <w:sz w:val="24"/>
              </w:rPr>
              <w:t>工程</w:t>
            </w:r>
            <w:r>
              <w:rPr>
                <w:rFonts w:ascii="宋体" w:hAnsi="宋体" w:cs="宋体"/>
                <w:sz w:val="24"/>
              </w:rPr>
              <w:t>质量类奖项的每个得</w:t>
            </w:r>
            <w:r>
              <w:rPr>
                <w:rFonts w:hint="eastAsia" w:ascii="宋体" w:hAnsi="宋体" w:cs="宋体"/>
                <w:sz w:val="24"/>
              </w:rPr>
              <w:t>4</w:t>
            </w:r>
            <w:r>
              <w:rPr>
                <w:rFonts w:ascii="宋体" w:hAnsi="宋体" w:cs="宋体"/>
                <w:sz w:val="24"/>
              </w:rPr>
              <w:t>分，本项最多</w:t>
            </w:r>
            <w:r>
              <w:rPr>
                <w:rFonts w:hint="eastAsia" w:ascii="宋体" w:hAnsi="宋体" w:cs="宋体"/>
                <w:sz w:val="24"/>
              </w:rPr>
              <w:t>得</w:t>
            </w:r>
            <w:r>
              <w:rPr>
                <w:rFonts w:ascii="宋体" w:hAnsi="宋体" w:cs="宋体"/>
                <w:sz w:val="24"/>
              </w:rPr>
              <w:t xml:space="preserve">4分； </w:t>
            </w:r>
          </w:p>
          <w:p>
            <w:pPr>
              <w:rPr>
                <w:rFonts w:hint="eastAsia" w:ascii="宋体" w:hAnsi="宋体" w:cs="宋体"/>
                <w:sz w:val="24"/>
              </w:rPr>
            </w:pPr>
            <w:r>
              <w:rPr>
                <w:rFonts w:hint="eastAsia" w:ascii="宋体" w:hAnsi="宋体" w:cs="宋体"/>
                <w:sz w:val="24"/>
              </w:rPr>
              <w:t>（2）</w:t>
            </w:r>
            <w:r>
              <w:rPr>
                <w:rFonts w:ascii="宋体" w:hAnsi="宋体" w:cs="宋体"/>
                <w:sz w:val="24"/>
              </w:rPr>
              <w:t>自201</w:t>
            </w:r>
            <w:r>
              <w:rPr>
                <w:rFonts w:hint="eastAsia" w:ascii="宋体" w:hAnsi="宋体" w:cs="宋体"/>
                <w:sz w:val="24"/>
              </w:rPr>
              <w:t>4</w:t>
            </w:r>
            <w:r>
              <w:rPr>
                <w:rFonts w:ascii="宋体" w:hAnsi="宋体" w:cs="宋体"/>
                <w:sz w:val="24"/>
              </w:rPr>
              <w:t>年1月1日至今，曾获得省级</w:t>
            </w:r>
            <w:r>
              <w:rPr>
                <w:rFonts w:hint="eastAsia" w:ascii="宋体" w:hAnsi="宋体" w:cs="宋体"/>
                <w:sz w:val="24"/>
              </w:rPr>
              <w:t>工程</w:t>
            </w:r>
            <w:r>
              <w:rPr>
                <w:rFonts w:ascii="宋体" w:hAnsi="宋体" w:cs="宋体"/>
                <w:sz w:val="24"/>
              </w:rPr>
              <w:t>质量类奖项的每个得</w:t>
            </w:r>
            <w:r>
              <w:rPr>
                <w:rFonts w:hint="eastAsia" w:ascii="宋体" w:hAnsi="宋体" w:cs="宋体"/>
                <w:sz w:val="24"/>
              </w:rPr>
              <w:t>2</w:t>
            </w:r>
            <w:r>
              <w:rPr>
                <w:rFonts w:ascii="宋体" w:hAnsi="宋体" w:cs="宋体"/>
                <w:sz w:val="24"/>
              </w:rPr>
              <w:t>分，本项最多</w:t>
            </w:r>
            <w:r>
              <w:rPr>
                <w:rFonts w:hint="eastAsia" w:ascii="宋体" w:hAnsi="宋体" w:cs="宋体"/>
                <w:sz w:val="24"/>
              </w:rPr>
              <w:t>得2</w:t>
            </w:r>
            <w:r>
              <w:rPr>
                <w:rFonts w:ascii="宋体" w:hAnsi="宋体" w:cs="宋体"/>
                <w:sz w:val="24"/>
              </w:rPr>
              <w:t xml:space="preserve">分； </w:t>
            </w:r>
          </w:p>
          <w:p>
            <w:pPr>
              <w:rPr>
                <w:rFonts w:hint="eastAsia" w:ascii="宋体" w:hAnsi="宋体" w:cs="宋体"/>
                <w:sz w:val="24"/>
              </w:rPr>
            </w:pPr>
            <w:r>
              <w:rPr>
                <w:rFonts w:hint="eastAsia" w:ascii="宋体" w:hAnsi="宋体" w:cs="宋体"/>
                <w:sz w:val="24"/>
              </w:rPr>
              <w:t>注：同一工程项目只能计算一次得分，不重复计算。</w:t>
            </w:r>
          </w:p>
          <w:p>
            <w:pPr>
              <w:rPr>
                <w:rFonts w:hint="eastAsia" w:ascii="宋体" w:hAnsi="宋体" w:cs="宋体"/>
                <w:sz w:val="24"/>
              </w:rPr>
            </w:pPr>
            <w:r>
              <w:rPr>
                <w:rFonts w:hint="eastAsia" w:ascii="宋体" w:hAnsi="宋体" w:cs="宋体"/>
                <w:sz w:val="24"/>
              </w:rPr>
              <w:t>本项满分为6分。</w:t>
            </w:r>
            <w:r>
              <w:rPr>
                <w:rFonts w:ascii="宋体" w:hAnsi="宋体" w:cs="宋体"/>
                <w:b/>
                <w:bCs/>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2325"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pacing w:val="20"/>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cs="宋体"/>
                <w:bCs/>
                <w:sz w:val="24"/>
              </w:rPr>
            </w:pPr>
            <w:r>
              <w:rPr>
                <w:rFonts w:hint="eastAsia" w:ascii="宋体" w:hAnsi="宋体" w:cs="宋体"/>
                <w:bCs/>
                <w:sz w:val="24"/>
              </w:rPr>
              <w:t>4</w:t>
            </w:r>
          </w:p>
        </w:tc>
        <w:tc>
          <w:tcPr>
            <w:tcW w:w="1717" w:type="dxa"/>
            <w:gridSpan w:val="2"/>
            <w:vAlign w:val="center"/>
          </w:tcPr>
          <w:p>
            <w:pPr>
              <w:snapToGrid w:val="0"/>
              <w:spacing w:before="31" w:beforeLines="10" w:after="31" w:afterLines="10" w:line="300" w:lineRule="exact"/>
              <w:ind w:left="28" w:leftChars="10" w:right="28" w:rightChars="10"/>
              <w:jc w:val="center"/>
              <w:rPr>
                <w:rFonts w:ascii="宋体" w:hAnsi="宋体" w:cs="宋体"/>
                <w:bCs/>
                <w:sz w:val="24"/>
              </w:rPr>
            </w:pPr>
            <w:r>
              <w:rPr>
                <w:rFonts w:hint="eastAsia" w:ascii="宋体" w:hAnsi="宋体" w:cs="宋体"/>
                <w:bCs/>
                <w:sz w:val="24"/>
              </w:rPr>
              <w:t>“守合同重信用“</w:t>
            </w:r>
          </w:p>
        </w:tc>
        <w:tc>
          <w:tcPr>
            <w:tcW w:w="5664" w:type="dxa"/>
            <w:vAlign w:val="center"/>
          </w:tcPr>
          <w:p>
            <w:pPr>
              <w:snapToGrid w:val="0"/>
              <w:spacing w:line="260" w:lineRule="exact"/>
              <w:rPr>
                <w:rFonts w:hint="eastAsia" w:ascii="宋体" w:hAnsi="宋体" w:cs="宋体"/>
                <w:sz w:val="24"/>
              </w:rPr>
            </w:pPr>
            <w:r>
              <w:rPr>
                <w:rFonts w:hint="eastAsia" w:ascii="宋体" w:hAnsi="宋体" w:cs="宋体"/>
                <w:sz w:val="24"/>
              </w:rPr>
              <w:t>（1）2014年1月1日至今，获得国家级“守合同、重信用”荣誉得4分，</w:t>
            </w:r>
            <w:r>
              <w:rPr>
                <w:rFonts w:ascii="宋体" w:hAnsi="宋体" w:cs="宋体"/>
                <w:sz w:val="24"/>
              </w:rPr>
              <w:t>本项最多</w:t>
            </w:r>
            <w:r>
              <w:rPr>
                <w:rFonts w:hint="eastAsia" w:ascii="宋体" w:hAnsi="宋体" w:cs="宋体"/>
                <w:sz w:val="24"/>
              </w:rPr>
              <w:t>得</w:t>
            </w:r>
            <w:r>
              <w:rPr>
                <w:rFonts w:ascii="宋体" w:hAnsi="宋体" w:cs="宋体"/>
                <w:sz w:val="24"/>
              </w:rPr>
              <w:t>4分；</w:t>
            </w:r>
          </w:p>
          <w:p>
            <w:pPr>
              <w:snapToGrid w:val="0"/>
              <w:spacing w:line="260" w:lineRule="exact"/>
              <w:rPr>
                <w:rFonts w:hint="eastAsia" w:ascii="宋体" w:hAnsi="宋体" w:cs="宋体"/>
                <w:sz w:val="24"/>
              </w:rPr>
            </w:pPr>
            <w:r>
              <w:rPr>
                <w:rFonts w:hint="eastAsia" w:ascii="宋体" w:hAnsi="宋体" w:cs="宋体"/>
                <w:sz w:val="24"/>
              </w:rPr>
              <w:t>（2）2014年1月1日至今，获得省级“守合同、重信用”荣誉得2分，本项最多得2分。</w:t>
            </w:r>
          </w:p>
          <w:p>
            <w:pPr>
              <w:snapToGrid w:val="0"/>
              <w:spacing w:line="260" w:lineRule="exact"/>
              <w:rPr>
                <w:rFonts w:hint="eastAsia" w:ascii="宋体" w:hAnsi="宋体" w:cs="宋体"/>
                <w:sz w:val="24"/>
              </w:rPr>
            </w:pPr>
            <w:r>
              <w:rPr>
                <w:rFonts w:hint="eastAsia" w:ascii="宋体" w:hAnsi="宋体" w:cs="宋体"/>
                <w:sz w:val="24"/>
              </w:rPr>
              <w:t>（3）2014年1月1日至今，获得市级“守合同、重信用”荣誉得1分，本项最多得1分。</w:t>
            </w:r>
          </w:p>
          <w:p>
            <w:pPr>
              <w:snapToGrid w:val="0"/>
              <w:spacing w:line="260" w:lineRule="exact"/>
              <w:rPr>
                <w:rFonts w:hint="eastAsia" w:ascii="宋体" w:hAnsi="宋体" w:cs="宋体"/>
                <w:sz w:val="24"/>
              </w:rPr>
            </w:pPr>
            <w:r>
              <w:rPr>
                <w:rFonts w:hint="eastAsia" w:ascii="宋体" w:hAnsi="宋体" w:cs="宋体"/>
                <w:sz w:val="24"/>
              </w:rPr>
              <w:t>以上3项只能按其中一项计算得分，不重复计算。</w:t>
            </w:r>
          </w:p>
          <w:p>
            <w:pPr>
              <w:snapToGrid w:val="0"/>
              <w:spacing w:line="260" w:lineRule="exact"/>
              <w:rPr>
                <w:rFonts w:hint="eastAsia" w:ascii="宋体" w:hAnsi="宋体" w:cs="宋体"/>
                <w:bCs/>
                <w:sz w:val="24"/>
              </w:rPr>
            </w:pPr>
            <w:r>
              <w:rPr>
                <w:rFonts w:hint="eastAsia" w:ascii="宋体" w:hAnsi="宋体" w:cs="宋体"/>
                <w:sz w:val="24"/>
              </w:rPr>
              <w:t>本项满分4分。</w:t>
            </w:r>
            <w:r>
              <w:rPr>
                <w:rFonts w:hint="eastAsia" w:ascii="宋体" w:hAnsi="宋体" w:cs="宋体"/>
                <w:b/>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1530"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pacing w:val="20"/>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5</w:t>
            </w:r>
          </w:p>
        </w:tc>
        <w:tc>
          <w:tcPr>
            <w:tcW w:w="1717" w:type="dxa"/>
            <w:gridSpan w:val="2"/>
            <w:vAlign w:val="center"/>
          </w:tcPr>
          <w:p>
            <w:pPr>
              <w:tabs>
                <w:tab w:val="left" w:pos="425"/>
              </w:tabs>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诚信示范企业</w:t>
            </w:r>
          </w:p>
        </w:tc>
        <w:tc>
          <w:tcPr>
            <w:tcW w:w="5664" w:type="dxa"/>
            <w:vAlign w:val="center"/>
          </w:tcPr>
          <w:p>
            <w:pPr>
              <w:tabs>
                <w:tab w:val="left" w:pos="425"/>
              </w:tabs>
              <w:snapToGrid w:val="0"/>
              <w:spacing w:line="260" w:lineRule="exact"/>
              <w:rPr>
                <w:rFonts w:hint="eastAsia" w:ascii="宋体" w:hAnsi="宋体" w:cs="宋体"/>
                <w:sz w:val="24"/>
              </w:rPr>
            </w:pPr>
            <w:r>
              <w:rPr>
                <w:rFonts w:hint="eastAsia" w:ascii="宋体" w:hAnsi="宋体" w:cs="宋体"/>
                <w:sz w:val="24"/>
              </w:rPr>
              <w:t>连续5年获得省级“诚信示范企业”荣誉的得1分；连续年限每增加1年增加1分。连续5年获得市级“诚信示范企业”荣誉的得0.5分；连续年限每增加1年增加0.5分。</w:t>
            </w:r>
          </w:p>
          <w:p>
            <w:pPr>
              <w:tabs>
                <w:tab w:val="left" w:pos="425"/>
              </w:tabs>
              <w:snapToGrid w:val="0"/>
              <w:spacing w:line="260" w:lineRule="exact"/>
              <w:rPr>
                <w:rFonts w:hint="eastAsia" w:ascii="宋体" w:hAnsi="宋体" w:cs="宋体"/>
                <w:sz w:val="24"/>
              </w:rPr>
            </w:pPr>
            <w:r>
              <w:rPr>
                <w:rFonts w:hint="eastAsia" w:ascii="宋体" w:hAnsi="宋体" w:cs="宋体"/>
                <w:sz w:val="24"/>
              </w:rPr>
              <w:t>本项满分5分。</w:t>
            </w:r>
            <w:r>
              <w:rPr>
                <w:rFonts w:hint="eastAsia" w:ascii="宋体" w:hAnsi="宋体" w:cs="宋体"/>
                <w:b/>
                <w:bCs/>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1208"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pacing w:val="20"/>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ind w:left="28" w:leftChars="10" w:right="28" w:rightChars="10"/>
              <w:jc w:val="center"/>
              <w:rPr>
                <w:rFonts w:ascii="宋体" w:hAnsi="宋体" w:cs="宋体"/>
                <w:sz w:val="24"/>
              </w:rPr>
            </w:pPr>
            <w:r>
              <w:rPr>
                <w:rFonts w:hint="eastAsia" w:ascii="宋体" w:hAnsi="宋体" w:cs="宋体"/>
                <w:sz w:val="24"/>
              </w:rPr>
              <w:t>3</w:t>
            </w:r>
          </w:p>
        </w:tc>
        <w:tc>
          <w:tcPr>
            <w:tcW w:w="1717" w:type="dxa"/>
            <w:gridSpan w:val="2"/>
            <w:vAlign w:val="center"/>
          </w:tcPr>
          <w:p>
            <w:pPr>
              <w:tabs>
                <w:tab w:val="left" w:pos="425"/>
              </w:tabs>
              <w:spacing w:before="31" w:beforeLines="10" w:after="31" w:afterLines="10"/>
              <w:ind w:left="28" w:leftChars="10" w:right="28" w:rightChars="10"/>
              <w:jc w:val="center"/>
              <w:rPr>
                <w:rFonts w:ascii="宋体" w:hAnsi="宋体" w:cs="宋体"/>
                <w:sz w:val="24"/>
              </w:rPr>
            </w:pPr>
            <w:r>
              <w:rPr>
                <w:rFonts w:hint="eastAsia" w:ascii="宋体" w:hAnsi="宋体" w:cs="宋体"/>
                <w:sz w:val="24"/>
              </w:rPr>
              <w:t>企业荣誉</w:t>
            </w:r>
          </w:p>
        </w:tc>
        <w:tc>
          <w:tcPr>
            <w:tcW w:w="5664" w:type="dxa"/>
            <w:vAlign w:val="center"/>
          </w:tcPr>
          <w:p>
            <w:pPr>
              <w:tabs>
                <w:tab w:val="left" w:pos="425"/>
              </w:tabs>
              <w:snapToGrid w:val="0"/>
              <w:spacing w:before="31" w:beforeLines="10" w:after="31" w:afterLines="10"/>
              <w:ind w:left="28" w:leftChars="10" w:right="28" w:rightChars="10"/>
              <w:rPr>
                <w:rFonts w:hint="eastAsia" w:ascii="宋体" w:hAnsi="宋体" w:cs="宋体"/>
                <w:sz w:val="24"/>
              </w:rPr>
            </w:pPr>
            <w:r>
              <w:rPr>
                <w:rFonts w:hint="eastAsia" w:ascii="宋体" w:hAnsi="宋体" w:cs="宋体"/>
                <w:sz w:val="24"/>
              </w:rPr>
              <w:t>（1）自2014年1月1日至今被评为省级或以上先进工程监理企业的得3分；</w:t>
            </w:r>
          </w:p>
          <w:p>
            <w:pPr>
              <w:tabs>
                <w:tab w:val="left" w:pos="425"/>
              </w:tabs>
              <w:snapToGrid w:val="0"/>
              <w:spacing w:before="31" w:beforeLines="10" w:after="31" w:afterLines="10"/>
              <w:ind w:left="28" w:leftChars="10" w:right="28" w:rightChars="10"/>
              <w:rPr>
                <w:rFonts w:hint="eastAsia" w:ascii="宋体" w:hAnsi="宋体" w:cs="宋体"/>
                <w:sz w:val="24"/>
              </w:rPr>
            </w:pPr>
            <w:r>
              <w:rPr>
                <w:rFonts w:hint="eastAsia" w:ascii="宋体" w:hAnsi="宋体" w:cs="宋体"/>
                <w:sz w:val="24"/>
              </w:rPr>
              <w:t>（2）自2014年1月1日至今被评为市级先进工程监理企业的得1分；</w:t>
            </w:r>
            <w:r>
              <w:rPr>
                <w:rFonts w:ascii="宋体" w:hAnsi="宋体" w:cs="宋体"/>
                <w:sz w:val="24"/>
              </w:rPr>
              <w:t xml:space="preserve"> </w:t>
            </w:r>
          </w:p>
          <w:p>
            <w:pPr>
              <w:snapToGrid w:val="0"/>
              <w:spacing w:line="260" w:lineRule="exact"/>
              <w:rPr>
                <w:rFonts w:ascii="宋体" w:hAnsi="宋体" w:cs="宋体"/>
                <w:sz w:val="24"/>
              </w:rPr>
            </w:pPr>
            <w:r>
              <w:rPr>
                <w:rFonts w:hint="eastAsia" w:ascii="宋体" w:hAnsi="宋体" w:cs="宋体"/>
                <w:sz w:val="24"/>
              </w:rPr>
              <w:t>本项满分3分。</w:t>
            </w:r>
            <w:r>
              <w:rPr>
                <w:rFonts w:hint="eastAsia" w:ascii="宋体" w:hAnsi="宋体" w:cs="宋体"/>
                <w:b/>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1506" w:hRule="atLeast"/>
          <w:jc w:val="center"/>
        </w:trPr>
        <w:tc>
          <w:tcPr>
            <w:tcW w:w="722" w:type="dxa"/>
            <w:vMerge w:val="restart"/>
            <w:tcBorders>
              <w:top w:val="single" w:color="auto" w:sz="4" w:space="0"/>
            </w:tcBorders>
            <w:vAlign w:val="center"/>
          </w:tcPr>
          <w:p>
            <w:pPr>
              <w:snapToGrid w:val="0"/>
              <w:spacing w:before="31" w:beforeLines="10" w:after="31" w:afterLines="10" w:line="300" w:lineRule="exact"/>
              <w:ind w:left="28" w:leftChars="10" w:right="28" w:rightChars="10"/>
              <w:jc w:val="center"/>
              <w:rPr>
                <w:rFonts w:hint="eastAsia" w:ascii="宋体" w:hAnsi="宋体"/>
                <w:spacing w:val="20"/>
                <w:sz w:val="24"/>
              </w:rPr>
            </w:pPr>
            <w:r>
              <w:rPr>
                <w:rFonts w:hint="eastAsia" w:ascii="宋体" w:hAnsi="宋体"/>
                <w:sz w:val="24"/>
              </w:rPr>
              <w:t>驻场监理机构(二)</w:t>
            </w:r>
          </w:p>
        </w:tc>
        <w:tc>
          <w:tcPr>
            <w:tcW w:w="511" w:type="dxa"/>
            <w:vMerge w:val="restart"/>
            <w:tcBorders>
              <w:top w:val="single" w:color="auto" w:sz="4" w:space="0"/>
            </w:tcBorders>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15</w:t>
            </w:r>
          </w:p>
        </w:tc>
        <w:tc>
          <w:tcPr>
            <w:tcW w:w="488" w:type="dxa"/>
            <w:tcBorders>
              <w:top w:val="single" w:color="auto" w:sz="4" w:space="0"/>
            </w:tcBorders>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5</w:t>
            </w:r>
          </w:p>
        </w:tc>
        <w:tc>
          <w:tcPr>
            <w:tcW w:w="1717" w:type="dxa"/>
            <w:gridSpan w:val="2"/>
            <w:tcBorders>
              <w:top w:val="single" w:color="auto" w:sz="4" w:space="0"/>
            </w:tcBorders>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sz w:val="24"/>
              </w:rPr>
              <w:t>总监理工程师综合素质</w:t>
            </w:r>
          </w:p>
        </w:tc>
        <w:tc>
          <w:tcPr>
            <w:tcW w:w="5664" w:type="dxa"/>
            <w:vAlign w:val="center"/>
          </w:tcPr>
          <w:p>
            <w:pPr>
              <w:tabs>
                <w:tab w:val="left" w:pos="425"/>
              </w:tabs>
              <w:snapToGrid w:val="0"/>
              <w:spacing w:before="31" w:beforeLines="10" w:after="31" w:afterLines="10" w:line="290" w:lineRule="exact"/>
              <w:ind w:left="28" w:leftChars="10" w:right="28" w:rightChars="10"/>
              <w:rPr>
                <w:rFonts w:hint="eastAsia" w:ascii="宋体" w:hAnsi="宋体" w:cs="宋体"/>
                <w:sz w:val="24"/>
              </w:rPr>
            </w:pPr>
            <w:r>
              <w:rPr>
                <w:rFonts w:hint="eastAsia" w:ascii="宋体" w:hAnsi="宋体" w:cs="宋体"/>
                <w:sz w:val="24"/>
              </w:rPr>
              <w:t>（1）取得监理工程师执业资格3年以上的得2分；</w:t>
            </w:r>
          </w:p>
          <w:p>
            <w:pPr>
              <w:tabs>
                <w:tab w:val="left" w:pos="425"/>
              </w:tabs>
              <w:snapToGrid w:val="0"/>
              <w:spacing w:before="31" w:beforeLines="10" w:after="31" w:afterLines="10" w:line="290" w:lineRule="exact"/>
              <w:ind w:left="28" w:leftChars="10" w:right="28" w:rightChars="10"/>
              <w:rPr>
                <w:rFonts w:hint="eastAsia" w:ascii="宋体" w:hAnsi="宋体" w:cs="宋体"/>
                <w:sz w:val="24"/>
              </w:rPr>
            </w:pPr>
            <w:r>
              <w:rPr>
                <w:rFonts w:hint="eastAsia" w:ascii="宋体" w:hAnsi="宋体" w:cs="宋体"/>
                <w:sz w:val="24"/>
              </w:rPr>
              <w:t>（2）年龄60周岁以下的得3分；</w:t>
            </w:r>
          </w:p>
          <w:p>
            <w:pPr>
              <w:tabs>
                <w:tab w:val="left" w:pos="425"/>
              </w:tabs>
              <w:snapToGrid w:val="0"/>
              <w:spacing w:before="31" w:beforeLines="10" w:after="31" w:afterLines="10" w:line="290" w:lineRule="exact"/>
              <w:ind w:left="28" w:leftChars="10" w:right="28" w:rightChars="10"/>
              <w:rPr>
                <w:rFonts w:hint="eastAsia" w:ascii="宋体" w:hAnsi="宋体" w:cs="宋体"/>
                <w:sz w:val="24"/>
              </w:rPr>
            </w:pPr>
            <w:r>
              <w:rPr>
                <w:rFonts w:hint="eastAsia" w:ascii="宋体" w:hAnsi="宋体" w:cs="宋体"/>
                <w:sz w:val="24"/>
              </w:rPr>
              <w:t>该项累计最高得5分。</w:t>
            </w:r>
            <w:r>
              <w:rPr>
                <w:rFonts w:hint="eastAsia" w:ascii="宋体" w:hAnsi="宋体" w:cs="宋体"/>
                <w:b/>
                <w:bCs/>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1818"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pacing w:val="20"/>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5</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总监代表综合素质</w:t>
            </w:r>
          </w:p>
        </w:tc>
        <w:tc>
          <w:tcPr>
            <w:tcW w:w="5664" w:type="dxa"/>
            <w:vAlign w:val="center"/>
          </w:tcPr>
          <w:p>
            <w:pPr>
              <w:snapToGrid w:val="0"/>
              <w:spacing w:line="260" w:lineRule="exact"/>
              <w:rPr>
                <w:rFonts w:ascii="宋体" w:hAnsi="宋体" w:cs="宋体"/>
                <w:sz w:val="24"/>
              </w:rPr>
            </w:pPr>
            <w:r>
              <w:rPr>
                <w:rFonts w:hint="eastAsia" w:ascii="宋体" w:hAnsi="宋体" w:cs="宋体"/>
                <w:sz w:val="24"/>
              </w:rPr>
              <w:t>（1）</w:t>
            </w:r>
            <w:r>
              <w:rPr>
                <w:rFonts w:ascii="宋体" w:hAnsi="宋体" w:cs="宋体"/>
                <w:sz w:val="24"/>
              </w:rPr>
              <w:t>具备高级工程师职称的得</w:t>
            </w:r>
            <w:r>
              <w:rPr>
                <w:rFonts w:hint="eastAsia" w:ascii="宋体" w:hAnsi="宋体" w:cs="宋体"/>
                <w:sz w:val="24"/>
              </w:rPr>
              <w:t>2</w:t>
            </w:r>
            <w:r>
              <w:rPr>
                <w:rFonts w:ascii="宋体" w:hAnsi="宋体" w:cs="宋体"/>
                <w:sz w:val="24"/>
              </w:rPr>
              <w:t>分；</w:t>
            </w:r>
          </w:p>
          <w:p>
            <w:pPr>
              <w:tabs>
                <w:tab w:val="left" w:pos="420"/>
                <w:tab w:val="left" w:pos="425"/>
              </w:tabs>
              <w:spacing w:before="31" w:beforeLines="10" w:after="31" w:afterLines="10"/>
              <w:ind w:right="28" w:rightChars="10"/>
              <w:jc w:val="left"/>
              <w:rPr>
                <w:rFonts w:ascii="宋体" w:hAnsi="宋体" w:cs="宋体"/>
                <w:sz w:val="24"/>
              </w:rPr>
            </w:pPr>
            <w:r>
              <w:rPr>
                <w:rFonts w:hint="eastAsia" w:ascii="宋体" w:hAnsi="宋体" w:cs="宋体"/>
                <w:sz w:val="24"/>
              </w:rPr>
              <w:t>（2）</w:t>
            </w:r>
            <w:r>
              <w:rPr>
                <w:rFonts w:ascii="宋体" w:hAnsi="宋体" w:cs="宋体"/>
                <w:sz w:val="24"/>
              </w:rPr>
              <w:t>自2</w:t>
            </w:r>
            <w:r>
              <w:rPr>
                <w:rFonts w:hint="eastAsia" w:ascii="宋体" w:hAnsi="宋体" w:cs="宋体"/>
                <w:sz w:val="24"/>
              </w:rPr>
              <w:t>014年1月1日至今</w:t>
            </w:r>
            <w:r>
              <w:rPr>
                <w:rFonts w:ascii="宋体" w:hAnsi="宋体" w:cs="宋体"/>
                <w:sz w:val="24"/>
              </w:rPr>
              <w:t>曾获中国建设监理协会评为优秀总监理工程师的得</w:t>
            </w:r>
            <w:r>
              <w:rPr>
                <w:rFonts w:hint="eastAsia" w:ascii="宋体" w:hAnsi="宋体" w:cs="宋体"/>
                <w:sz w:val="24"/>
              </w:rPr>
              <w:t>3</w:t>
            </w:r>
            <w:r>
              <w:rPr>
                <w:rFonts w:ascii="宋体" w:hAnsi="宋体" w:cs="宋体"/>
                <w:sz w:val="24"/>
              </w:rPr>
              <w:t>分；获省级建设监理协会评为优秀总监理工程师的得</w:t>
            </w:r>
            <w:r>
              <w:rPr>
                <w:rFonts w:hint="eastAsia" w:ascii="宋体" w:hAnsi="宋体" w:cs="宋体"/>
                <w:sz w:val="24"/>
              </w:rPr>
              <w:t>1</w:t>
            </w:r>
            <w:r>
              <w:rPr>
                <w:rFonts w:ascii="宋体" w:hAnsi="宋体" w:cs="宋体"/>
                <w:sz w:val="24"/>
              </w:rPr>
              <w:t>分；</w:t>
            </w:r>
          </w:p>
          <w:p>
            <w:pPr>
              <w:tabs>
                <w:tab w:val="left" w:pos="425"/>
              </w:tabs>
              <w:snapToGrid w:val="0"/>
              <w:spacing w:before="31" w:beforeLines="10" w:after="31" w:afterLines="10" w:line="290" w:lineRule="exact"/>
              <w:ind w:left="28" w:leftChars="10" w:right="28" w:rightChars="10"/>
              <w:rPr>
                <w:rFonts w:hint="eastAsia" w:ascii="宋体" w:hAnsi="宋体" w:cs="宋体"/>
                <w:sz w:val="24"/>
              </w:rPr>
            </w:pPr>
            <w:r>
              <w:rPr>
                <w:rFonts w:hint="eastAsia" w:ascii="宋体" w:hAnsi="宋体" w:cs="宋体"/>
                <w:sz w:val="24"/>
              </w:rPr>
              <w:t>该</w:t>
            </w:r>
            <w:r>
              <w:rPr>
                <w:rFonts w:ascii="宋体" w:hAnsi="宋体" w:cs="宋体"/>
                <w:sz w:val="24"/>
              </w:rPr>
              <w:t>项累计最高得</w:t>
            </w:r>
            <w:r>
              <w:rPr>
                <w:rFonts w:hint="eastAsia" w:ascii="宋体" w:hAnsi="宋体" w:cs="宋体"/>
                <w:sz w:val="24"/>
              </w:rPr>
              <w:t>5</w:t>
            </w:r>
            <w:r>
              <w:rPr>
                <w:rFonts w:ascii="宋体" w:hAnsi="宋体" w:cs="宋体"/>
                <w:sz w:val="24"/>
              </w:rPr>
              <w:t>分</w:t>
            </w:r>
            <w:r>
              <w:rPr>
                <w:rFonts w:hint="eastAsia" w:ascii="宋体" w:hAnsi="宋体" w:cs="宋体"/>
                <w:sz w:val="24"/>
              </w:rPr>
              <w:t>。</w:t>
            </w:r>
            <w:r>
              <w:rPr>
                <w:rFonts w:ascii="宋体" w:hAnsi="宋体" w:cs="宋体"/>
                <w:b/>
                <w:bCs/>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763"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pacing w:val="20"/>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2</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机电安装工程专业监理工程师</w:t>
            </w:r>
            <w:r>
              <w:rPr>
                <w:rFonts w:hint="eastAsia" w:ascii="宋体" w:hAnsi="宋体"/>
                <w:sz w:val="24"/>
              </w:rPr>
              <w:t>综合素质</w:t>
            </w:r>
          </w:p>
        </w:tc>
        <w:tc>
          <w:tcPr>
            <w:tcW w:w="5664" w:type="dxa"/>
            <w:vAlign w:val="center"/>
          </w:tcPr>
          <w:p>
            <w:pPr>
              <w:snapToGrid w:val="0"/>
              <w:spacing w:line="260" w:lineRule="exact"/>
              <w:rPr>
                <w:rFonts w:hint="eastAsia" w:ascii="宋体" w:hAnsi="宋体" w:cs="宋体"/>
                <w:sz w:val="24"/>
              </w:rPr>
            </w:pPr>
            <w:r>
              <w:rPr>
                <w:rFonts w:ascii="宋体" w:hAnsi="宋体" w:cs="宋体"/>
                <w:sz w:val="24"/>
              </w:rPr>
              <w:t>具备高级工程师职称的得</w:t>
            </w:r>
            <w:r>
              <w:rPr>
                <w:rFonts w:hint="eastAsia" w:ascii="宋体" w:hAnsi="宋体" w:cs="宋体"/>
                <w:sz w:val="24"/>
              </w:rPr>
              <w:t>2</w:t>
            </w:r>
            <w:r>
              <w:rPr>
                <w:rFonts w:ascii="宋体" w:hAnsi="宋体" w:cs="宋体"/>
                <w:sz w:val="24"/>
              </w:rPr>
              <w:t>分</w:t>
            </w:r>
            <w:r>
              <w:rPr>
                <w:rFonts w:ascii="宋体" w:hAnsi="宋体" w:cs="宋体"/>
                <w:b/>
                <w:bCs/>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1818"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pacing w:val="20"/>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3</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项目监理机构人员配备</w:t>
            </w:r>
          </w:p>
        </w:tc>
        <w:tc>
          <w:tcPr>
            <w:tcW w:w="5664" w:type="dxa"/>
            <w:vAlign w:val="center"/>
          </w:tcPr>
          <w:p>
            <w:pPr>
              <w:snapToGrid w:val="0"/>
              <w:spacing w:before="31" w:beforeLines="10" w:after="31" w:afterLines="10" w:line="290" w:lineRule="exact"/>
              <w:ind w:left="28" w:leftChars="10" w:right="28" w:rightChars="10"/>
              <w:rPr>
                <w:rFonts w:hint="eastAsia" w:ascii="宋体" w:hAnsi="宋体" w:cs="宋体"/>
                <w:sz w:val="24"/>
              </w:rPr>
            </w:pPr>
            <w:r>
              <w:rPr>
                <w:rFonts w:hint="eastAsia" w:ascii="宋体" w:hAnsi="宋体" w:cs="宋体"/>
                <w:sz w:val="24"/>
              </w:rPr>
              <w:t>项目监理机构人员配备满足附表1《项目驻场监理机构人员要求一览表》要求的得3分，其中一项不满足要求的不得分。</w:t>
            </w:r>
            <w:r>
              <w:rPr>
                <w:rFonts w:hint="eastAsia" w:ascii="宋体" w:hAnsi="宋体" w:cs="宋体"/>
                <w:b/>
                <w:sz w:val="24"/>
              </w:rPr>
              <w:t>（原件备查）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70" w:hRule="atLeast"/>
          <w:jc w:val="center"/>
        </w:trPr>
        <w:tc>
          <w:tcPr>
            <w:tcW w:w="722"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监理</w:t>
            </w:r>
          </w:p>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方案</w:t>
            </w:r>
          </w:p>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(三)</w:t>
            </w:r>
          </w:p>
        </w:tc>
        <w:tc>
          <w:tcPr>
            <w:tcW w:w="511"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20</w:t>
            </w:r>
          </w:p>
        </w:tc>
        <w:tc>
          <w:tcPr>
            <w:tcW w:w="488"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sz w:val="24"/>
              </w:rPr>
              <w:t>3</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p>
        </w:tc>
        <w:tc>
          <w:tcPr>
            <w:tcW w:w="5664" w:type="dxa"/>
            <w:vMerge w:val="restart"/>
            <w:tcBorders>
              <w:top w:val="single" w:color="auto" w:sz="4" w:space="0"/>
            </w:tcBorders>
            <w:vAlign w:val="center"/>
          </w:tcPr>
          <w:p>
            <w:pPr>
              <w:numPr>
                <w:ilvl w:val="0"/>
                <w:numId w:val="2"/>
              </w:numPr>
              <w:snapToGrid w:val="0"/>
              <w:spacing w:before="31" w:beforeLines="10" w:after="31" w:afterLines="10" w:line="290" w:lineRule="exact"/>
              <w:ind w:left="28" w:leftChars="10" w:right="28" w:rightChars="10"/>
              <w:rPr>
                <w:rFonts w:hint="eastAsia" w:ascii="宋体" w:hAnsi="宋体"/>
                <w:sz w:val="24"/>
              </w:rPr>
            </w:pPr>
            <w:r>
              <w:rPr>
                <w:rFonts w:hint="eastAsia" w:ascii="宋体" w:hAnsi="宋体"/>
                <w:sz w:val="24"/>
              </w:rPr>
              <w:t>目标明确的得1分；</w:t>
            </w:r>
          </w:p>
          <w:p>
            <w:pPr>
              <w:numPr>
                <w:ilvl w:val="0"/>
                <w:numId w:val="2"/>
              </w:numPr>
              <w:snapToGrid w:val="0"/>
              <w:spacing w:before="31" w:beforeLines="10" w:after="31" w:afterLines="10" w:line="290" w:lineRule="exact"/>
              <w:ind w:left="28" w:leftChars="10" w:right="28" w:rightChars="10"/>
              <w:rPr>
                <w:rFonts w:hint="eastAsia" w:ascii="宋体" w:hAnsi="宋体"/>
                <w:sz w:val="24"/>
              </w:rPr>
            </w:pPr>
            <w:r>
              <w:rPr>
                <w:rFonts w:hint="eastAsia" w:ascii="宋体" w:hAnsi="宋体"/>
                <w:sz w:val="24"/>
              </w:rPr>
              <w:t>目标基本明确的得0.6～0.9分；</w:t>
            </w:r>
          </w:p>
          <w:p>
            <w:pPr>
              <w:numPr>
                <w:ilvl w:val="0"/>
                <w:numId w:val="2"/>
              </w:numPr>
              <w:snapToGrid w:val="0"/>
              <w:spacing w:before="31" w:beforeLines="10" w:after="31" w:afterLines="10" w:line="290" w:lineRule="exact"/>
              <w:ind w:left="28" w:leftChars="10" w:right="28" w:rightChars="10"/>
              <w:rPr>
                <w:rFonts w:hint="eastAsia" w:ascii="宋体" w:hAnsi="宋体"/>
                <w:sz w:val="24"/>
              </w:rPr>
            </w:pPr>
            <w:r>
              <w:rPr>
                <w:rFonts w:hint="eastAsia" w:ascii="宋体" w:hAnsi="宋体"/>
                <w:sz w:val="24"/>
              </w:rPr>
              <w:t>有目标但不明确的得0.5分。</w:t>
            </w:r>
          </w:p>
          <w:p>
            <w:pPr>
              <w:tabs>
                <w:tab w:val="left" w:pos="425"/>
              </w:tabs>
              <w:snapToGrid w:val="0"/>
              <w:spacing w:before="31" w:beforeLines="10" w:after="31" w:afterLines="10" w:line="290" w:lineRule="exact"/>
              <w:ind w:left="28" w:leftChars="10" w:right="28" w:rightChars="10"/>
              <w:rPr>
                <w:rFonts w:hint="eastAsia" w:ascii="宋体" w:hAnsi="宋体" w:cs="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p>
        </w:tc>
        <w:tc>
          <w:tcPr>
            <w:tcW w:w="1090"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sz w:val="24"/>
              </w:rPr>
              <w:t>投资控制</w:t>
            </w: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目标</w:t>
            </w:r>
          </w:p>
        </w:tc>
        <w:tc>
          <w:tcPr>
            <w:tcW w:w="5664" w:type="dxa"/>
            <w:vMerge w:val="continue"/>
            <w:vAlign w:val="center"/>
          </w:tcPr>
          <w:p>
            <w:pPr>
              <w:tabs>
                <w:tab w:val="left" w:pos="425"/>
              </w:tabs>
              <w:snapToGrid w:val="0"/>
              <w:spacing w:before="31" w:beforeLines="10" w:after="31" w:afterLines="10" w:line="290" w:lineRule="exact"/>
              <w:ind w:left="28" w:leftChars="10" w:right="28" w:rightChars="10"/>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1090"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方法</w:t>
            </w:r>
          </w:p>
        </w:tc>
        <w:tc>
          <w:tcPr>
            <w:tcW w:w="5664" w:type="dxa"/>
            <w:vAlign w:val="center"/>
          </w:tcPr>
          <w:p>
            <w:pPr>
              <w:numPr>
                <w:ilvl w:val="0"/>
                <w:numId w:val="3"/>
              </w:numPr>
              <w:snapToGrid w:val="0"/>
              <w:spacing w:before="31" w:beforeLines="10" w:after="31" w:afterLines="10" w:line="290" w:lineRule="exact"/>
              <w:ind w:left="28" w:leftChars="10" w:right="28" w:rightChars="10"/>
              <w:rPr>
                <w:rFonts w:hint="eastAsia" w:ascii="宋体" w:hAnsi="宋体"/>
                <w:sz w:val="24"/>
              </w:rPr>
            </w:pPr>
            <w:r>
              <w:rPr>
                <w:rFonts w:hint="eastAsia" w:ascii="宋体" w:hAnsi="宋体"/>
                <w:sz w:val="24"/>
              </w:rPr>
              <w:t>方法合理可行的得1分；</w:t>
            </w:r>
          </w:p>
          <w:p>
            <w:pPr>
              <w:numPr>
                <w:ilvl w:val="0"/>
                <w:numId w:val="3"/>
              </w:numPr>
              <w:snapToGrid w:val="0"/>
              <w:spacing w:before="31" w:beforeLines="10" w:after="31" w:afterLines="10" w:line="290" w:lineRule="exact"/>
              <w:ind w:left="28" w:leftChars="10" w:right="28" w:rightChars="10"/>
              <w:rPr>
                <w:rFonts w:hint="eastAsia" w:ascii="宋体" w:hAnsi="宋体"/>
                <w:sz w:val="24"/>
              </w:rPr>
            </w:pPr>
            <w:r>
              <w:rPr>
                <w:rFonts w:hint="eastAsia" w:ascii="宋体" w:hAnsi="宋体"/>
                <w:sz w:val="24"/>
              </w:rPr>
              <w:t>方法基本合理可行的得0.6～0.9分；</w:t>
            </w:r>
          </w:p>
          <w:p>
            <w:pPr>
              <w:numPr>
                <w:ilvl w:val="0"/>
                <w:numId w:val="3"/>
              </w:numPr>
              <w:snapToGrid w:val="0"/>
              <w:spacing w:before="31" w:beforeLines="10" w:after="31" w:afterLines="10" w:line="290" w:lineRule="exact"/>
              <w:ind w:left="28" w:leftChars="10" w:right="28" w:rightChars="10"/>
              <w:rPr>
                <w:rFonts w:hint="eastAsia" w:ascii="宋体" w:hAnsi="宋体"/>
                <w:sz w:val="24"/>
              </w:rPr>
            </w:pPr>
            <w:r>
              <w:rPr>
                <w:rFonts w:hint="eastAsia" w:ascii="宋体" w:hAnsi="宋体"/>
                <w:sz w:val="24"/>
              </w:rPr>
              <w:t>方法可行性较差的得0.5分。</w:t>
            </w:r>
          </w:p>
          <w:p>
            <w:pPr>
              <w:tabs>
                <w:tab w:val="left" w:pos="425"/>
              </w:tabs>
              <w:snapToGrid w:val="0"/>
              <w:spacing w:before="31" w:beforeLines="10" w:after="31" w:afterLines="10" w:line="290"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1090"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措施</w:t>
            </w:r>
          </w:p>
        </w:tc>
        <w:tc>
          <w:tcPr>
            <w:tcW w:w="5664" w:type="dxa"/>
            <w:vAlign w:val="center"/>
          </w:tcPr>
          <w:p>
            <w:pPr>
              <w:numPr>
                <w:ilvl w:val="0"/>
                <w:numId w:val="4"/>
              </w:numPr>
              <w:snapToGrid w:val="0"/>
              <w:spacing w:before="31" w:beforeLines="10" w:after="31" w:afterLines="10" w:line="286" w:lineRule="exact"/>
              <w:ind w:left="28" w:leftChars="10" w:right="28" w:rightChars="10"/>
              <w:rPr>
                <w:rFonts w:hint="eastAsia" w:ascii="宋体" w:hAnsi="宋体"/>
                <w:sz w:val="24"/>
              </w:rPr>
            </w:pPr>
            <w:r>
              <w:rPr>
                <w:rFonts w:hint="eastAsia" w:ascii="宋体" w:hAnsi="宋体"/>
                <w:sz w:val="24"/>
              </w:rPr>
              <w:t>措施具体、针对性强的得1分；</w:t>
            </w:r>
          </w:p>
          <w:p>
            <w:pPr>
              <w:numPr>
                <w:ilvl w:val="0"/>
                <w:numId w:val="4"/>
              </w:numPr>
              <w:snapToGrid w:val="0"/>
              <w:spacing w:before="31" w:beforeLines="10" w:after="31" w:afterLines="10" w:line="286" w:lineRule="exact"/>
              <w:ind w:left="28" w:leftChars="10" w:right="28" w:rightChars="10"/>
              <w:rPr>
                <w:rFonts w:hint="eastAsia" w:ascii="宋体" w:hAnsi="宋体"/>
                <w:sz w:val="24"/>
              </w:rPr>
            </w:pPr>
            <w:r>
              <w:rPr>
                <w:rFonts w:hint="eastAsia" w:ascii="宋体" w:hAnsi="宋体"/>
                <w:sz w:val="24"/>
              </w:rPr>
              <w:t>有针对性但不具体的得0.6～0.9分；</w:t>
            </w:r>
          </w:p>
          <w:p>
            <w:pPr>
              <w:numPr>
                <w:ilvl w:val="0"/>
                <w:numId w:val="4"/>
              </w:numPr>
              <w:snapToGrid w:val="0"/>
              <w:spacing w:before="31" w:beforeLines="10" w:after="31" w:afterLines="10" w:line="286" w:lineRule="exact"/>
              <w:ind w:left="48" w:leftChars="17" w:right="28" w:rightChars="10"/>
              <w:rPr>
                <w:rFonts w:hint="eastAsia" w:ascii="宋体" w:hAnsi="宋体"/>
                <w:sz w:val="24"/>
              </w:rPr>
            </w:pPr>
            <w:r>
              <w:rPr>
                <w:rFonts w:hint="eastAsia" w:ascii="宋体" w:hAnsi="宋体"/>
                <w:sz w:val="24"/>
              </w:rPr>
              <w:t>针对性不强和措施不具体的得0.5分。</w:t>
            </w:r>
          </w:p>
          <w:p>
            <w:pPr>
              <w:tabs>
                <w:tab w:val="left" w:pos="425"/>
              </w:tabs>
              <w:snapToGrid w:val="0"/>
              <w:spacing w:before="31" w:beforeLines="10" w:after="31" w:afterLines="10" w:line="286"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3</w:t>
            </w:r>
          </w:p>
        </w:tc>
        <w:tc>
          <w:tcPr>
            <w:tcW w:w="1090" w:type="dxa"/>
            <w:vMerge w:val="restart"/>
            <w:vAlign w:val="center"/>
          </w:tcPr>
          <w:p>
            <w:pPr>
              <w:snapToGrid w:val="0"/>
              <w:spacing w:before="31" w:beforeLines="10" w:after="31" w:afterLines="10" w:line="300" w:lineRule="exact"/>
              <w:ind w:left="28" w:leftChars="10" w:right="28" w:rightChars="10"/>
              <w:jc w:val="center"/>
              <w:rPr>
                <w:rFonts w:ascii="宋体" w:hAnsi="宋体"/>
                <w:sz w:val="24"/>
              </w:rPr>
            </w:pPr>
            <w:r>
              <w:rPr>
                <w:rFonts w:hint="eastAsia" w:ascii="宋体" w:hAnsi="宋体"/>
                <w:sz w:val="24"/>
              </w:rPr>
              <w:t>进度控制</w:t>
            </w: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目标</w:t>
            </w:r>
          </w:p>
        </w:tc>
        <w:tc>
          <w:tcPr>
            <w:tcW w:w="5664" w:type="dxa"/>
            <w:vAlign w:val="center"/>
          </w:tcPr>
          <w:p>
            <w:pPr>
              <w:numPr>
                <w:ilvl w:val="0"/>
                <w:numId w:val="5"/>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目标明确的得1分；</w:t>
            </w:r>
          </w:p>
          <w:p>
            <w:pPr>
              <w:numPr>
                <w:ilvl w:val="0"/>
                <w:numId w:val="5"/>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目标基本明确的得0.6～0.9分；</w:t>
            </w:r>
          </w:p>
          <w:p>
            <w:pPr>
              <w:numPr>
                <w:ilvl w:val="0"/>
                <w:numId w:val="5"/>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有目标但不明确的得0.5分。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1090"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方法</w:t>
            </w:r>
          </w:p>
        </w:tc>
        <w:tc>
          <w:tcPr>
            <w:tcW w:w="5664" w:type="dxa"/>
            <w:vAlign w:val="center"/>
          </w:tcPr>
          <w:p>
            <w:pPr>
              <w:numPr>
                <w:ilvl w:val="0"/>
                <w:numId w:val="6"/>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方法合理可行的得1分；</w:t>
            </w:r>
          </w:p>
          <w:p>
            <w:pPr>
              <w:numPr>
                <w:ilvl w:val="0"/>
                <w:numId w:val="6"/>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方法基本合理可行的得0.6～0.9分；</w:t>
            </w:r>
          </w:p>
          <w:p>
            <w:pPr>
              <w:numPr>
                <w:ilvl w:val="0"/>
                <w:numId w:val="6"/>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方法可行性较差的得0.5分。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1090" w:type="dxa"/>
            <w:vMerge w:val="continue"/>
            <w:vAlign w:val="center"/>
          </w:tcPr>
          <w:p>
            <w:pPr>
              <w:snapToGrid w:val="0"/>
              <w:spacing w:before="31" w:beforeLines="10" w:after="31" w:afterLines="10" w:line="300" w:lineRule="exact"/>
              <w:ind w:left="28" w:leftChars="10" w:right="28" w:rightChars="10"/>
              <w:jc w:val="center"/>
              <w:rPr>
                <w:rFonts w:ascii="宋体" w:hAnsi="宋体"/>
                <w:sz w:val="24"/>
              </w:rPr>
            </w:pP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措施</w:t>
            </w:r>
          </w:p>
        </w:tc>
        <w:tc>
          <w:tcPr>
            <w:tcW w:w="5664" w:type="dxa"/>
            <w:vAlign w:val="center"/>
          </w:tcPr>
          <w:p>
            <w:pPr>
              <w:numPr>
                <w:ilvl w:val="0"/>
                <w:numId w:val="7"/>
              </w:numPr>
              <w:snapToGrid w:val="0"/>
              <w:spacing w:before="31" w:beforeLines="10" w:after="31" w:afterLines="10" w:line="286" w:lineRule="exact"/>
              <w:ind w:right="28" w:rightChars="10"/>
              <w:rPr>
                <w:rFonts w:hint="eastAsia" w:ascii="宋体" w:hAnsi="宋体"/>
                <w:sz w:val="24"/>
              </w:rPr>
            </w:pPr>
            <w:r>
              <w:rPr>
                <w:rFonts w:hint="eastAsia" w:ascii="宋体" w:hAnsi="宋体"/>
                <w:sz w:val="24"/>
              </w:rPr>
              <w:t>措施具体、针对性强的得1分；</w:t>
            </w:r>
          </w:p>
          <w:p>
            <w:pPr>
              <w:numPr>
                <w:ilvl w:val="0"/>
                <w:numId w:val="7"/>
              </w:numPr>
              <w:snapToGrid w:val="0"/>
              <w:spacing w:before="31" w:beforeLines="10" w:after="31" w:afterLines="10" w:line="286" w:lineRule="exact"/>
              <w:ind w:right="28" w:rightChars="10"/>
              <w:rPr>
                <w:rFonts w:hint="eastAsia" w:ascii="宋体" w:hAnsi="宋体"/>
                <w:sz w:val="24"/>
              </w:rPr>
            </w:pPr>
            <w:r>
              <w:rPr>
                <w:rFonts w:hint="eastAsia" w:ascii="宋体" w:hAnsi="宋体"/>
                <w:sz w:val="24"/>
              </w:rPr>
              <w:t>有针对性但不具体的得0.6～0.9分；</w:t>
            </w:r>
          </w:p>
          <w:p>
            <w:pPr>
              <w:numPr>
                <w:ilvl w:val="0"/>
                <w:numId w:val="7"/>
              </w:numPr>
              <w:snapToGrid w:val="0"/>
              <w:spacing w:before="31" w:beforeLines="10" w:after="31" w:afterLines="10" w:line="286" w:lineRule="exact"/>
              <w:ind w:right="28" w:rightChars="10"/>
              <w:rPr>
                <w:rFonts w:hint="eastAsia" w:ascii="宋体" w:hAnsi="宋体"/>
                <w:sz w:val="24"/>
              </w:rPr>
            </w:pPr>
            <w:r>
              <w:rPr>
                <w:rFonts w:hint="eastAsia" w:ascii="宋体" w:hAnsi="宋体"/>
                <w:sz w:val="24"/>
              </w:rPr>
              <w:t>针对性不强和措施不具体的得0.5分。</w:t>
            </w:r>
          </w:p>
          <w:p>
            <w:pPr>
              <w:tabs>
                <w:tab w:val="left" w:pos="425"/>
              </w:tabs>
              <w:snapToGrid w:val="0"/>
              <w:spacing w:before="31" w:beforeLines="10" w:after="31" w:afterLines="10" w:line="286"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3</w:t>
            </w:r>
          </w:p>
        </w:tc>
        <w:tc>
          <w:tcPr>
            <w:tcW w:w="1090" w:type="dxa"/>
            <w:vMerge w:val="restart"/>
            <w:vAlign w:val="center"/>
          </w:tcPr>
          <w:p>
            <w:pPr>
              <w:snapToGrid w:val="0"/>
              <w:spacing w:before="31" w:beforeLines="10" w:after="31" w:afterLines="10" w:line="300" w:lineRule="exact"/>
              <w:ind w:left="28" w:leftChars="10" w:right="28" w:rightChars="10"/>
              <w:jc w:val="center"/>
              <w:rPr>
                <w:rFonts w:ascii="宋体" w:hAnsi="宋体"/>
                <w:sz w:val="24"/>
              </w:rPr>
            </w:pPr>
            <w:r>
              <w:rPr>
                <w:rFonts w:hint="eastAsia" w:ascii="宋体" w:hAnsi="宋体"/>
                <w:sz w:val="24"/>
              </w:rPr>
              <w:t>质量控制</w:t>
            </w: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目标</w:t>
            </w:r>
          </w:p>
        </w:tc>
        <w:tc>
          <w:tcPr>
            <w:tcW w:w="5664" w:type="dxa"/>
            <w:vAlign w:val="center"/>
          </w:tcPr>
          <w:p>
            <w:p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a.目标明确得1分；</w:t>
            </w:r>
          </w:p>
          <w:p>
            <w:p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b.目标基本明确得0.6～0.9分；</w:t>
            </w:r>
          </w:p>
          <w:p>
            <w:p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c.有目标但不明确的得0.5分。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1090" w:type="dxa"/>
            <w:vMerge w:val="continue"/>
            <w:vAlign w:val="center"/>
          </w:tcPr>
          <w:p>
            <w:pPr>
              <w:snapToGrid w:val="0"/>
              <w:spacing w:before="31" w:beforeLines="10" w:after="31" w:afterLines="10" w:line="300" w:lineRule="exact"/>
              <w:ind w:left="28" w:leftChars="10" w:right="28" w:rightChars="10"/>
              <w:jc w:val="center"/>
              <w:rPr>
                <w:rFonts w:ascii="宋体" w:hAnsi="宋体"/>
                <w:sz w:val="24"/>
              </w:rPr>
            </w:pP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方法</w:t>
            </w:r>
          </w:p>
        </w:tc>
        <w:tc>
          <w:tcPr>
            <w:tcW w:w="5664" w:type="dxa"/>
            <w:vAlign w:val="center"/>
          </w:tcPr>
          <w:p>
            <w:p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a.方法合理可行得1分；</w:t>
            </w:r>
          </w:p>
          <w:p>
            <w:p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b.方法基本合理可行得0.6～0.9分；</w:t>
            </w:r>
          </w:p>
          <w:p>
            <w:p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c.方法可行性较差的得0.5分。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该项最多得</w:t>
            </w:r>
            <w:r>
              <w:rPr>
                <w:rFonts w:hint="eastAsia" w:ascii="宋体" w:hAnsi="宋体"/>
                <w:sz w:val="24"/>
                <w:lang w:val="en-US" w:eastAsia="zh-CN"/>
              </w:rPr>
              <w:t>1</w:t>
            </w:r>
            <w:r>
              <w:rPr>
                <w:rFonts w:hint="eastAsia" w:ascii="宋体" w:hAnsi="宋体"/>
                <w:sz w:val="24"/>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1090" w:type="dxa"/>
            <w:vMerge w:val="continue"/>
            <w:vAlign w:val="center"/>
          </w:tcPr>
          <w:p>
            <w:pPr>
              <w:snapToGrid w:val="0"/>
              <w:spacing w:before="31" w:beforeLines="10" w:after="31" w:afterLines="10" w:line="300" w:lineRule="exact"/>
              <w:ind w:left="28" w:leftChars="10" w:right="28" w:rightChars="10"/>
              <w:jc w:val="center"/>
              <w:rPr>
                <w:rFonts w:ascii="宋体" w:hAnsi="宋体"/>
                <w:sz w:val="24"/>
              </w:rPr>
            </w:pP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措施</w:t>
            </w:r>
          </w:p>
        </w:tc>
        <w:tc>
          <w:tcPr>
            <w:tcW w:w="5664" w:type="dxa"/>
            <w:vAlign w:val="center"/>
          </w:tcPr>
          <w:p>
            <w:pPr>
              <w:numPr>
                <w:ilvl w:val="0"/>
                <w:numId w:val="8"/>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措施具体、针对性强得</w:t>
            </w:r>
            <w:r>
              <w:rPr>
                <w:rFonts w:hint="eastAsia" w:ascii="宋体" w:hAnsi="宋体"/>
                <w:sz w:val="24"/>
                <w:lang w:val="en-US" w:eastAsia="zh-CN"/>
              </w:rPr>
              <w:t>1</w:t>
            </w:r>
            <w:r>
              <w:rPr>
                <w:rFonts w:hint="eastAsia" w:ascii="宋体" w:hAnsi="宋体"/>
                <w:sz w:val="24"/>
              </w:rPr>
              <w:t>分；</w:t>
            </w:r>
          </w:p>
          <w:p>
            <w:pPr>
              <w:numPr>
                <w:ilvl w:val="0"/>
                <w:numId w:val="8"/>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有针对性但不具体的得</w:t>
            </w:r>
            <w:r>
              <w:rPr>
                <w:rFonts w:hint="eastAsia" w:ascii="宋体" w:hAnsi="宋体"/>
                <w:sz w:val="24"/>
                <w:lang w:val="en-US" w:eastAsia="zh-CN"/>
              </w:rPr>
              <w:t>0.6</w:t>
            </w:r>
            <w:r>
              <w:rPr>
                <w:rFonts w:hint="eastAsia" w:ascii="宋体" w:hAnsi="宋体"/>
                <w:sz w:val="24"/>
              </w:rPr>
              <w:t>～</w:t>
            </w:r>
            <w:r>
              <w:rPr>
                <w:rFonts w:hint="eastAsia" w:ascii="宋体" w:hAnsi="宋体"/>
                <w:sz w:val="24"/>
                <w:lang w:val="en-US" w:eastAsia="zh-CN"/>
              </w:rPr>
              <w:t>0</w:t>
            </w:r>
            <w:r>
              <w:rPr>
                <w:rFonts w:hint="eastAsia" w:ascii="宋体" w:hAnsi="宋体"/>
                <w:sz w:val="24"/>
              </w:rPr>
              <w:t>.9分；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针对性不强和措施不具体的得</w:t>
            </w:r>
            <w:r>
              <w:rPr>
                <w:rFonts w:hint="eastAsia" w:ascii="宋体" w:hAnsi="宋体"/>
                <w:sz w:val="24"/>
                <w:lang w:val="en-US" w:eastAsia="zh-CN"/>
              </w:rPr>
              <w:t>0.5</w:t>
            </w:r>
            <w:r>
              <w:rPr>
                <w:rFonts w:hint="eastAsia" w:ascii="宋体" w:hAnsi="宋体"/>
                <w:sz w:val="24"/>
              </w:rPr>
              <w:t>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该项最多得</w:t>
            </w:r>
            <w:r>
              <w:rPr>
                <w:rFonts w:hint="eastAsia" w:ascii="宋体" w:hAnsi="宋体"/>
                <w:sz w:val="24"/>
                <w:lang w:val="en-US" w:eastAsia="zh-CN"/>
              </w:rPr>
              <w:t>1</w:t>
            </w:r>
            <w:r>
              <w:rPr>
                <w:rFonts w:hint="eastAsia" w:ascii="宋体" w:hAnsi="宋体"/>
                <w:sz w:val="24"/>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restart"/>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3</w:t>
            </w:r>
          </w:p>
        </w:tc>
        <w:tc>
          <w:tcPr>
            <w:tcW w:w="1090" w:type="dxa"/>
            <w:vMerge w:val="restart"/>
            <w:vAlign w:val="center"/>
          </w:tcPr>
          <w:p>
            <w:pPr>
              <w:snapToGrid w:val="0"/>
              <w:spacing w:before="31" w:beforeLines="10" w:after="31" w:afterLines="10" w:line="300" w:lineRule="exact"/>
              <w:ind w:left="28" w:leftChars="10" w:right="28" w:rightChars="10"/>
              <w:jc w:val="center"/>
              <w:rPr>
                <w:rFonts w:ascii="宋体" w:hAnsi="宋体"/>
                <w:sz w:val="24"/>
              </w:rPr>
            </w:pPr>
            <w:r>
              <w:rPr>
                <w:rFonts w:hint="eastAsia" w:ascii="宋体" w:hAnsi="宋体"/>
                <w:sz w:val="24"/>
              </w:rPr>
              <w:t>安全生产、文明施工控制</w:t>
            </w: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目标</w:t>
            </w:r>
          </w:p>
        </w:tc>
        <w:tc>
          <w:tcPr>
            <w:tcW w:w="5664" w:type="dxa"/>
            <w:vAlign w:val="center"/>
          </w:tcPr>
          <w:p>
            <w:pPr>
              <w:numPr>
                <w:ilvl w:val="0"/>
                <w:numId w:val="9"/>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目标明确的得1分；</w:t>
            </w:r>
          </w:p>
          <w:p>
            <w:pPr>
              <w:numPr>
                <w:ilvl w:val="0"/>
                <w:numId w:val="9"/>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目标基本明确得0.6～0.9分；</w:t>
            </w:r>
          </w:p>
          <w:p>
            <w:pPr>
              <w:numPr>
                <w:ilvl w:val="0"/>
                <w:numId w:val="9"/>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有目标但不明确的得0.5分。。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1090" w:type="dxa"/>
            <w:vMerge w:val="continue"/>
            <w:vAlign w:val="center"/>
          </w:tcPr>
          <w:p>
            <w:pPr>
              <w:snapToGrid w:val="0"/>
              <w:spacing w:before="31" w:beforeLines="10" w:after="31" w:afterLines="10" w:line="300" w:lineRule="exact"/>
              <w:ind w:left="28" w:leftChars="10" w:right="28" w:rightChars="10"/>
              <w:jc w:val="center"/>
              <w:rPr>
                <w:rFonts w:ascii="宋体" w:hAnsi="宋体"/>
                <w:sz w:val="24"/>
              </w:rPr>
            </w:pP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方法</w:t>
            </w:r>
          </w:p>
        </w:tc>
        <w:tc>
          <w:tcPr>
            <w:tcW w:w="5664" w:type="dxa"/>
            <w:vAlign w:val="center"/>
          </w:tcPr>
          <w:p>
            <w:p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a.方法合理可行的得1分；</w:t>
            </w:r>
          </w:p>
          <w:p>
            <w:p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b.方法基本合理可行的得0.6～0.9分；</w:t>
            </w:r>
          </w:p>
          <w:p>
            <w:p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c.方法可行性较差的得0.5分。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1090" w:type="dxa"/>
            <w:vMerge w:val="continue"/>
            <w:vAlign w:val="center"/>
          </w:tcPr>
          <w:p>
            <w:pPr>
              <w:snapToGrid w:val="0"/>
              <w:spacing w:before="31" w:beforeLines="10" w:after="31" w:afterLines="10" w:line="300" w:lineRule="exact"/>
              <w:ind w:left="28" w:leftChars="10" w:right="28" w:rightChars="10"/>
              <w:jc w:val="center"/>
              <w:rPr>
                <w:rFonts w:ascii="宋体" w:hAnsi="宋体"/>
                <w:sz w:val="24"/>
              </w:rPr>
            </w:pPr>
          </w:p>
        </w:tc>
        <w:tc>
          <w:tcPr>
            <w:tcW w:w="627"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措施</w:t>
            </w:r>
          </w:p>
        </w:tc>
        <w:tc>
          <w:tcPr>
            <w:tcW w:w="5664" w:type="dxa"/>
            <w:vAlign w:val="center"/>
          </w:tcPr>
          <w:p>
            <w:pPr>
              <w:snapToGrid w:val="0"/>
              <w:spacing w:before="31" w:beforeLines="10" w:after="31" w:afterLines="10" w:line="286" w:lineRule="exact"/>
              <w:ind w:left="28" w:leftChars="10" w:right="28" w:rightChars="10"/>
              <w:rPr>
                <w:rFonts w:hint="eastAsia" w:ascii="宋体" w:hAnsi="宋体"/>
                <w:sz w:val="24"/>
              </w:rPr>
            </w:pPr>
            <w:r>
              <w:rPr>
                <w:rFonts w:hint="eastAsia" w:ascii="宋体" w:hAnsi="宋体"/>
                <w:sz w:val="24"/>
              </w:rPr>
              <w:t>a.措施具体、针对性强的得1分；</w:t>
            </w:r>
          </w:p>
          <w:p>
            <w:pPr>
              <w:snapToGrid w:val="0"/>
              <w:spacing w:before="31" w:beforeLines="10" w:after="31" w:afterLines="10" w:line="286" w:lineRule="exact"/>
              <w:ind w:left="28" w:leftChars="10" w:right="28" w:rightChars="10"/>
              <w:rPr>
                <w:rFonts w:hint="eastAsia" w:ascii="宋体" w:hAnsi="宋体"/>
                <w:sz w:val="24"/>
              </w:rPr>
            </w:pPr>
            <w:r>
              <w:rPr>
                <w:rFonts w:hint="eastAsia" w:ascii="宋体" w:hAnsi="宋体"/>
                <w:sz w:val="24"/>
              </w:rPr>
              <w:t>b.有针对性但不具体的得0.6～0.9分；</w:t>
            </w:r>
          </w:p>
          <w:p>
            <w:pPr>
              <w:snapToGrid w:val="0"/>
              <w:spacing w:before="31" w:beforeLines="10" w:after="31" w:afterLines="10" w:line="286" w:lineRule="exact"/>
              <w:ind w:left="48" w:leftChars="17" w:right="28" w:rightChars="10"/>
              <w:rPr>
                <w:rFonts w:hint="eastAsia" w:ascii="宋体" w:hAnsi="宋体"/>
                <w:sz w:val="24"/>
              </w:rPr>
            </w:pPr>
            <w:r>
              <w:rPr>
                <w:rFonts w:hint="eastAsia" w:ascii="宋体" w:hAnsi="宋体"/>
                <w:sz w:val="24"/>
              </w:rPr>
              <w:t>c.针对性不强和措施不具体的得0.5分。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2</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信息管理与合同管理</w:t>
            </w:r>
          </w:p>
        </w:tc>
        <w:tc>
          <w:tcPr>
            <w:tcW w:w="5664" w:type="dxa"/>
            <w:vAlign w:val="center"/>
          </w:tcPr>
          <w:p>
            <w:pPr>
              <w:numPr>
                <w:ilvl w:val="0"/>
                <w:numId w:val="10"/>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方法合理，有监控发生合同纠纷的具体措施的得2分；</w:t>
            </w:r>
          </w:p>
          <w:p>
            <w:pPr>
              <w:numPr>
                <w:ilvl w:val="0"/>
                <w:numId w:val="10"/>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有措施但不具体的得1.1～1.9分；</w:t>
            </w:r>
          </w:p>
          <w:p>
            <w:pPr>
              <w:numPr>
                <w:ilvl w:val="0"/>
                <w:numId w:val="10"/>
              </w:numPr>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措施简单的得1.0分。</w:t>
            </w:r>
          </w:p>
          <w:p>
            <w:pPr>
              <w:tabs>
                <w:tab w:val="left" w:pos="425"/>
              </w:tabs>
              <w:snapToGrid w:val="0"/>
              <w:spacing w:before="31" w:beforeLines="10" w:after="31" w:afterLines="10" w:line="280" w:lineRule="exact"/>
              <w:ind w:left="28" w:leftChars="10" w:right="28" w:rightChars="10"/>
              <w:rPr>
                <w:rFonts w:hint="eastAsia" w:ascii="宋体" w:hAnsi="宋体"/>
                <w:sz w:val="24"/>
              </w:rPr>
            </w:pPr>
            <w:r>
              <w:rPr>
                <w:rFonts w:hint="eastAsia" w:ascii="宋体" w:hAnsi="宋体"/>
                <w:sz w:val="24"/>
              </w:rPr>
              <w:t>该项最多得2分。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1</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组织协调</w:t>
            </w:r>
          </w:p>
        </w:tc>
        <w:tc>
          <w:tcPr>
            <w:tcW w:w="5664" w:type="dxa"/>
            <w:vAlign w:val="center"/>
          </w:tcPr>
          <w:p>
            <w:pPr>
              <w:numPr>
                <w:ilvl w:val="0"/>
                <w:numId w:val="11"/>
              </w:num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协调方法清晰合理、有具体措施的得1分；</w:t>
            </w:r>
          </w:p>
          <w:p>
            <w:pPr>
              <w:numPr>
                <w:ilvl w:val="0"/>
                <w:numId w:val="11"/>
              </w:num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基本可行的得0.6～0.9分；</w:t>
            </w:r>
          </w:p>
          <w:p>
            <w:pPr>
              <w:numPr>
                <w:ilvl w:val="0"/>
                <w:numId w:val="11"/>
              </w:num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方法不清晰的得0.5分。</w:t>
            </w:r>
          </w:p>
          <w:p>
            <w:pPr>
              <w:tabs>
                <w:tab w:val="left" w:pos="425"/>
              </w:tabs>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1</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检测设备仪器</w:t>
            </w:r>
          </w:p>
        </w:tc>
        <w:tc>
          <w:tcPr>
            <w:tcW w:w="5664" w:type="dxa"/>
            <w:vAlign w:val="center"/>
          </w:tcPr>
          <w:p>
            <w:pPr>
              <w:numPr>
                <w:ilvl w:val="0"/>
                <w:numId w:val="12"/>
              </w:num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项目投入检测设备配置充足的得1分；</w:t>
            </w:r>
          </w:p>
          <w:p>
            <w:pPr>
              <w:numPr>
                <w:ilvl w:val="0"/>
                <w:numId w:val="12"/>
              </w:num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项目投入检测设备配置可正常开展监理工作的得0.5～0.9分；</w:t>
            </w:r>
          </w:p>
          <w:p>
            <w:pPr>
              <w:numPr>
                <w:ilvl w:val="0"/>
                <w:numId w:val="12"/>
              </w:num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项目投入检测设备配置不足的得0.5分。</w:t>
            </w:r>
          </w:p>
          <w:p>
            <w:pPr>
              <w:tabs>
                <w:tab w:val="left" w:pos="425"/>
              </w:tabs>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该项最多得1分。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2</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针对性监控难点</w:t>
            </w:r>
          </w:p>
        </w:tc>
        <w:tc>
          <w:tcPr>
            <w:tcW w:w="5664" w:type="dxa"/>
            <w:vAlign w:val="center"/>
          </w:tcPr>
          <w:p>
            <w:pPr>
              <w:numPr>
                <w:ilvl w:val="0"/>
                <w:numId w:val="13"/>
              </w:num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针对性强、措施具体的得2分；</w:t>
            </w:r>
          </w:p>
          <w:p>
            <w:pPr>
              <w:numPr>
                <w:ilvl w:val="0"/>
                <w:numId w:val="13"/>
              </w:num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有针对性、措施基本可行得1.1～1.9分；</w:t>
            </w:r>
          </w:p>
          <w:p>
            <w:pPr>
              <w:numPr>
                <w:ilvl w:val="0"/>
                <w:numId w:val="13"/>
              </w:num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针对性不强、措施不得力的得1.0分。</w:t>
            </w:r>
          </w:p>
          <w:p>
            <w:pPr>
              <w:tabs>
                <w:tab w:val="left" w:pos="425"/>
              </w:tabs>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该项最多得2分。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511" w:type="dxa"/>
            <w:vMerge w:val="continue"/>
            <w:vAlign w:val="center"/>
          </w:tcPr>
          <w:p>
            <w:pPr>
              <w:snapToGrid w:val="0"/>
              <w:spacing w:before="31" w:beforeLines="10" w:after="31" w:afterLines="10" w:line="300" w:lineRule="exact"/>
              <w:ind w:left="28" w:leftChars="10" w:right="28" w:rightChars="10"/>
              <w:jc w:val="center"/>
              <w:rPr>
                <w:rFonts w:hint="eastAsia" w:ascii="宋体" w:hAnsi="宋体"/>
                <w:sz w:val="24"/>
              </w:rPr>
            </w:pPr>
          </w:p>
        </w:tc>
        <w:tc>
          <w:tcPr>
            <w:tcW w:w="488"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2</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合理化建议</w:t>
            </w:r>
          </w:p>
        </w:tc>
        <w:tc>
          <w:tcPr>
            <w:tcW w:w="5664" w:type="dxa"/>
            <w:vAlign w:val="center"/>
          </w:tcPr>
          <w:p>
            <w:pPr>
              <w:numPr>
                <w:ilvl w:val="0"/>
                <w:numId w:val="14"/>
              </w:numPr>
              <w:snapToGrid w:val="0"/>
              <w:spacing w:before="31" w:beforeLines="10" w:after="31" w:afterLines="10" w:line="300" w:lineRule="exact"/>
              <w:ind w:left="28" w:leftChars="10" w:right="28" w:rightChars="10"/>
              <w:jc w:val="left"/>
              <w:rPr>
                <w:rFonts w:hint="eastAsia" w:ascii="宋体" w:hAnsi="宋体"/>
                <w:sz w:val="24"/>
              </w:rPr>
            </w:pPr>
            <w:r>
              <w:rPr>
                <w:rFonts w:hint="eastAsia" w:ascii="宋体" w:hAnsi="宋体"/>
                <w:sz w:val="24"/>
              </w:rPr>
              <w:t>合理化建议的内容符合本工程的实际情况，针对性强，可行性强得2分；</w:t>
            </w:r>
          </w:p>
          <w:p>
            <w:pPr>
              <w:numPr>
                <w:ilvl w:val="0"/>
                <w:numId w:val="14"/>
              </w:numPr>
              <w:snapToGrid w:val="0"/>
              <w:spacing w:before="31" w:beforeLines="10" w:after="31" w:afterLines="10" w:line="300" w:lineRule="exact"/>
              <w:ind w:left="28" w:leftChars="10" w:right="28" w:rightChars="10"/>
              <w:jc w:val="left"/>
              <w:rPr>
                <w:rFonts w:hint="eastAsia" w:ascii="宋体" w:hAnsi="宋体"/>
                <w:sz w:val="24"/>
              </w:rPr>
            </w:pPr>
            <w:r>
              <w:rPr>
                <w:rFonts w:hint="eastAsia" w:ascii="宋体" w:hAnsi="宋体"/>
                <w:sz w:val="24"/>
              </w:rPr>
              <w:t>合理化建议的内容基本符合本工程的实际情况，有针对性，可行性一般得1.1～1.9分；</w:t>
            </w:r>
          </w:p>
          <w:p>
            <w:pPr>
              <w:numPr>
                <w:ilvl w:val="0"/>
                <w:numId w:val="14"/>
              </w:numPr>
              <w:snapToGrid w:val="0"/>
              <w:spacing w:before="31" w:beforeLines="10" w:after="31" w:afterLines="10" w:line="300" w:lineRule="exact"/>
              <w:ind w:left="28" w:leftChars="10" w:right="28" w:rightChars="10"/>
              <w:jc w:val="left"/>
              <w:rPr>
                <w:rFonts w:hint="eastAsia" w:ascii="宋体" w:hAnsi="宋体"/>
                <w:sz w:val="24"/>
              </w:rPr>
            </w:pPr>
            <w:r>
              <w:rPr>
                <w:rFonts w:hint="eastAsia" w:ascii="宋体" w:hAnsi="宋体"/>
                <w:sz w:val="24"/>
              </w:rPr>
              <w:t>合理化建议的内容不符合本工程的实际情况，针对性不强，可行性较差的得1.0分。</w:t>
            </w:r>
          </w:p>
          <w:p>
            <w:pPr>
              <w:snapToGrid w:val="0"/>
              <w:spacing w:before="31" w:beforeLines="10" w:after="31" w:afterLines="10" w:line="300" w:lineRule="exact"/>
              <w:ind w:left="28" w:leftChars="10" w:right="28" w:rightChars="10"/>
              <w:jc w:val="left"/>
              <w:rPr>
                <w:rFonts w:hint="eastAsia" w:ascii="宋体" w:hAnsi="宋体"/>
                <w:sz w:val="24"/>
              </w:rPr>
            </w:pPr>
            <w:r>
              <w:rPr>
                <w:rFonts w:hint="eastAsia" w:ascii="宋体" w:hAnsi="宋体"/>
                <w:sz w:val="24"/>
              </w:rPr>
              <w:t>该项最多得2分。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722" w:type="dxa"/>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监理</w:t>
            </w:r>
          </w:p>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报价</w:t>
            </w:r>
          </w:p>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(四)</w:t>
            </w:r>
          </w:p>
        </w:tc>
        <w:tc>
          <w:tcPr>
            <w:tcW w:w="999" w:type="dxa"/>
            <w:gridSpan w:val="2"/>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20</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sz w:val="24"/>
              </w:rPr>
            </w:pPr>
            <w:r>
              <w:rPr>
                <w:rFonts w:hint="eastAsia" w:ascii="宋体" w:hAnsi="宋体"/>
                <w:sz w:val="24"/>
              </w:rPr>
              <w:t>报价分值</w:t>
            </w:r>
          </w:p>
        </w:tc>
        <w:tc>
          <w:tcPr>
            <w:tcW w:w="5664" w:type="dxa"/>
            <w:vAlign w:val="center"/>
          </w:tcPr>
          <w:p>
            <w:pPr>
              <w:tabs>
                <w:tab w:val="left" w:pos="425"/>
              </w:tabs>
              <w:snapToGrid w:val="0"/>
              <w:spacing w:before="31" w:beforeLines="10" w:after="31" w:afterLines="10" w:line="300" w:lineRule="exact"/>
              <w:ind w:right="28" w:rightChars="10"/>
              <w:jc w:val="left"/>
              <w:rPr>
                <w:rFonts w:hint="eastAsia" w:ascii="宋体" w:hAnsi="宋体"/>
                <w:sz w:val="24"/>
              </w:rPr>
            </w:pPr>
            <w:r>
              <w:rPr>
                <w:rFonts w:ascii="宋体" w:hAnsi="宋体"/>
                <w:sz w:val="24"/>
              </w:rPr>
              <w:t xml:space="preserve">效投标人数量大于等于3家小于等于5家时，取有效投标人的投标报价平均值作为评标参考价；有效投标人数量大于5家时，去掉一个投标报价最高值和一个最低值，取剩余投标人的投标报价平均值作为评标参考价；有效投标报价与评标参考价之差，每偏差1％扣1分，但计算结果应≥0。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721" w:type="dxa"/>
            <w:gridSpan w:val="3"/>
            <w:vAlign w:val="center"/>
          </w:tcPr>
          <w:p>
            <w:pPr>
              <w:widowControl/>
              <w:spacing w:before="31" w:beforeLines="10" w:after="31" w:afterLines="10" w:line="300" w:lineRule="exact"/>
              <w:ind w:left="28" w:leftChars="10" w:right="28" w:rightChars="10"/>
              <w:jc w:val="center"/>
              <w:rPr>
                <w:rFonts w:ascii="宋体" w:hAnsi="宋体" w:cs="宋体"/>
                <w:sz w:val="24"/>
              </w:rPr>
            </w:pPr>
            <w:r>
              <w:rPr>
                <w:rFonts w:hint="eastAsia" w:ascii="宋体" w:hAnsi="宋体" w:cs="宋体"/>
                <w:sz w:val="24"/>
              </w:rPr>
              <w:t>企业安全监理工作资历</w:t>
            </w:r>
          </w:p>
        </w:tc>
        <w:tc>
          <w:tcPr>
            <w:tcW w:w="1717" w:type="dxa"/>
            <w:gridSpan w:val="2"/>
            <w:vAlign w:val="center"/>
          </w:tcPr>
          <w:p>
            <w:pPr>
              <w:snapToGrid w:val="0"/>
              <w:spacing w:before="31" w:beforeLines="10" w:after="31" w:afterLines="10" w:line="300" w:lineRule="exact"/>
              <w:ind w:left="28" w:leftChars="10" w:right="28" w:rightChars="10"/>
              <w:jc w:val="center"/>
              <w:rPr>
                <w:rFonts w:hint="eastAsia" w:ascii="宋体" w:hAnsi="宋体" w:cs="宋体"/>
                <w:sz w:val="24"/>
              </w:rPr>
            </w:pPr>
            <w:r>
              <w:rPr>
                <w:rFonts w:hint="eastAsia" w:ascii="宋体" w:hAnsi="宋体" w:cs="宋体"/>
                <w:sz w:val="24"/>
              </w:rPr>
              <w:t>每出现一起扣10分</w:t>
            </w:r>
          </w:p>
        </w:tc>
        <w:tc>
          <w:tcPr>
            <w:tcW w:w="5664" w:type="dxa"/>
            <w:vAlign w:val="center"/>
          </w:tcPr>
          <w:p>
            <w:pPr>
              <w:snapToGrid w:val="0"/>
              <w:spacing w:before="31" w:beforeLines="10" w:after="31" w:afterLines="10" w:line="300" w:lineRule="exact"/>
              <w:ind w:left="28" w:leftChars="10" w:right="28" w:rightChars="10"/>
              <w:rPr>
                <w:rFonts w:hint="eastAsia" w:ascii="宋体" w:hAnsi="宋体"/>
                <w:sz w:val="24"/>
              </w:rPr>
            </w:pPr>
            <w:r>
              <w:rPr>
                <w:rFonts w:hint="eastAsia" w:ascii="宋体" w:hAnsi="宋体"/>
                <w:sz w:val="24"/>
              </w:rPr>
              <w:t>近三年，投标人其所监理的项目曾出现人员死亡的生产安全事故的每一起扣10分，由投标人自报，格式自拟，招标人保留查证权利。</w:t>
            </w:r>
          </w:p>
        </w:tc>
      </w:tr>
    </w:tbl>
    <w:p>
      <w:pPr>
        <w:snapToGrid w:val="0"/>
        <w:spacing w:line="280" w:lineRule="exact"/>
        <w:rPr>
          <w:rFonts w:hint="eastAsia" w:ascii="宋体" w:hAnsi="宋体" w:cs="FangSong_GB2312"/>
          <w:sz w:val="24"/>
        </w:rPr>
      </w:pPr>
      <w:r>
        <w:rPr>
          <w:rFonts w:hint="eastAsia" w:ascii="宋体" w:hAnsi="宋体" w:cs="FangSong_GB2312"/>
          <w:sz w:val="24"/>
        </w:rPr>
        <w:t>注</w:t>
      </w:r>
    </w:p>
    <w:p>
      <w:pPr>
        <w:numPr>
          <w:ilvl w:val="0"/>
          <w:numId w:val="15"/>
        </w:numPr>
        <w:snapToGrid w:val="0"/>
        <w:spacing w:line="280" w:lineRule="exact"/>
        <w:rPr>
          <w:rFonts w:hint="eastAsia" w:ascii="宋体" w:hAnsi="宋体" w:cs="FangSong_GB2312"/>
          <w:sz w:val="24"/>
        </w:rPr>
      </w:pPr>
      <w:r>
        <w:rPr>
          <w:rFonts w:hint="eastAsia" w:ascii="宋体" w:hAnsi="宋体" w:cs="FangSong_GB2312"/>
          <w:sz w:val="24"/>
        </w:rPr>
        <w:t>“至今”指报名截止时间当天，近三年是指2014、2015、2016年。</w:t>
      </w:r>
    </w:p>
    <w:p>
      <w:pPr>
        <w:numPr>
          <w:ilvl w:val="0"/>
          <w:numId w:val="15"/>
        </w:numPr>
        <w:autoSpaceDE w:val="0"/>
        <w:spacing w:line="320" w:lineRule="exact"/>
        <w:ind w:right="-48" w:rightChars="-17"/>
        <w:rPr>
          <w:rFonts w:hint="eastAsia" w:ascii="宋体" w:hAnsi="宋体" w:cs="FangSong_GB2312"/>
          <w:sz w:val="24"/>
        </w:rPr>
      </w:pPr>
      <w:r>
        <w:rPr>
          <w:rFonts w:hint="eastAsia" w:ascii="宋体" w:hAnsi="宋体" w:cs="FangSong_GB2312"/>
          <w:sz w:val="24"/>
        </w:rPr>
        <w:t>凡注明“原件备查”的，不能提供原件或原件不齐全的，该相关单项不得分，但不作否决投标处理。</w:t>
      </w:r>
    </w:p>
    <w:p>
      <w:pPr>
        <w:numPr>
          <w:ilvl w:val="0"/>
          <w:numId w:val="15"/>
        </w:numPr>
        <w:autoSpaceDE w:val="0"/>
        <w:spacing w:line="320" w:lineRule="exact"/>
        <w:ind w:right="-48" w:rightChars="-17"/>
        <w:rPr>
          <w:rFonts w:hint="eastAsia" w:ascii="宋体" w:hAnsi="宋体" w:cs="FangSong_GB2312"/>
          <w:bCs/>
          <w:sz w:val="24"/>
        </w:rPr>
      </w:pPr>
      <w:r>
        <w:rPr>
          <w:rFonts w:hint="eastAsia" w:ascii="宋体" w:hAnsi="宋体" w:cs="FangSong_GB2312"/>
          <w:bCs/>
          <w:sz w:val="24"/>
        </w:rPr>
        <w:t>工程监理资质证书应由住建部门颁发；</w:t>
      </w:r>
      <w:r>
        <w:rPr>
          <w:rFonts w:hint="eastAsia" w:ascii="宋体" w:hAnsi="宋体" w:cs="宋体"/>
          <w:bCs/>
          <w:sz w:val="24"/>
        </w:rPr>
        <w:t>人防工程监理资质证书应由人民防空办公室颁发；职称证书应由人事部门[包括人力资源和社会保障厅（局）或人事厅（局）]颁发。</w:t>
      </w:r>
    </w:p>
    <w:p>
      <w:pPr>
        <w:numPr>
          <w:ilvl w:val="0"/>
          <w:numId w:val="15"/>
        </w:numPr>
        <w:autoSpaceDE w:val="0"/>
        <w:spacing w:line="320" w:lineRule="exact"/>
        <w:ind w:right="-48" w:rightChars="-17"/>
        <w:rPr>
          <w:rFonts w:hint="eastAsia" w:ascii="宋体" w:hAnsi="宋体" w:cs="FangSong_GB2312"/>
          <w:bCs/>
          <w:sz w:val="24"/>
        </w:rPr>
      </w:pPr>
      <w:r>
        <w:rPr>
          <w:rFonts w:hint="eastAsia" w:ascii="宋体" w:hAnsi="宋体" w:cs="宋体"/>
          <w:bCs/>
          <w:sz w:val="24"/>
        </w:rPr>
        <w:t>类似工程业绩指的是医院工程（项目建筑面积3万平方米以上），提供中标通知书，时间以中标通知书发出时间为准，建筑面积中标通知书所注内容为准。</w:t>
      </w:r>
    </w:p>
    <w:p>
      <w:pPr>
        <w:numPr>
          <w:ilvl w:val="0"/>
          <w:numId w:val="15"/>
        </w:numPr>
        <w:autoSpaceDE w:val="0"/>
        <w:spacing w:line="320" w:lineRule="exact"/>
        <w:ind w:right="-48" w:rightChars="-17"/>
        <w:rPr>
          <w:rFonts w:hint="eastAsia" w:ascii="宋体" w:hAnsi="宋体" w:cs="FangSong_GB2312"/>
          <w:bCs/>
          <w:sz w:val="24"/>
        </w:rPr>
      </w:pPr>
      <w:r>
        <w:rPr>
          <w:rFonts w:hint="eastAsia" w:ascii="宋体" w:hAnsi="宋体" w:cs="FangSong_GB2312"/>
          <w:bCs/>
          <w:sz w:val="24"/>
        </w:rPr>
        <w:t>“守合同、重信用”证书以工商行政管理局颁发的年度证书为准；“诚信示范企业”证书以企业联合会、企业家协会共同颁发的证书为准；“先进工程监理企业”荣誉证书以建设监理协会的证书为准（提供证书及社会组织查询截图）。</w:t>
      </w:r>
    </w:p>
    <w:p>
      <w:pPr>
        <w:numPr>
          <w:ilvl w:val="0"/>
          <w:numId w:val="15"/>
        </w:numPr>
        <w:autoSpaceDE w:val="0"/>
        <w:spacing w:line="320" w:lineRule="exact"/>
        <w:ind w:right="-48" w:rightChars="-17"/>
        <w:rPr>
          <w:rFonts w:hint="eastAsia" w:ascii="宋体" w:hAnsi="宋体" w:cs="FangSong_GB2312"/>
          <w:sz w:val="24"/>
        </w:rPr>
      </w:pPr>
      <w:r>
        <w:rPr>
          <w:rFonts w:hint="eastAsia" w:ascii="宋体" w:hAnsi="宋体" w:cs="FangSong_GB2312"/>
          <w:sz w:val="24"/>
        </w:rPr>
        <w:t>“监理方案”得分计算办法：评委评出各有效投标文件的总得分的算术平均值作为该投标单位的最后得分（分数出现小数点时，保留小数点后二位，第三位小数四舍五入）。</w:t>
      </w:r>
    </w:p>
    <w:p>
      <w:pPr>
        <w:numPr>
          <w:ilvl w:val="0"/>
          <w:numId w:val="15"/>
        </w:numPr>
        <w:autoSpaceDE w:val="0"/>
        <w:spacing w:line="320" w:lineRule="exact"/>
        <w:ind w:right="-48" w:rightChars="-17"/>
        <w:rPr>
          <w:rFonts w:hint="eastAsia" w:ascii="宋体" w:hAnsi="宋体" w:cs="FangSong_GB2312"/>
          <w:sz w:val="24"/>
        </w:rPr>
      </w:pPr>
      <w:r>
        <w:rPr>
          <w:rFonts w:hint="eastAsia" w:ascii="宋体" w:hAnsi="宋体" w:cs="FangSong_GB2312"/>
          <w:sz w:val="24"/>
        </w:rPr>
        <w:t>投标报价得分计算方法：</w:t>
      </w:r>
    </w:p>
    <w:p>
      <w:pPr>
        <w:autoSpaceDE w:val="0"/>
        <w:spacing w:line="320" w:lineRule="exact"/>
        <w:ind w:left="425" w:right="-48" w:rightChars="-17"/>
        <w:rPr>
          <w:rFonts w:hint="eastAsia" w:ascii="宋体" w:hAnsi="宋体" w:cs="FangSong_GB2312"/>
          <w:sz w:val="24"/>
        </w:rPr>
      </w:pPr>
      <w:r>
        <w:rPr>
          <w:rFonts w:hint="eastAsia" w:ascii="宋体" w:hAnsi="宋体" w:cs="FangSong_GB2312"/>
          <w:sz w:val="24"/>
        </w:rPr>
        <w:t>评标参考价：</w:t>
      </w:r>
      <w:r>
        <w:rPr>
          <w:rFonts w:ascii="宋体" w:hAnsi="宋体" w:cs="FangSong_GB2312"/>
          <w:sz w:val="24"/>
        </w:rPr>
        <w:t>有效投标人数量大于等于3家小于等于5家时，取有效投标人的投标报价平均值作为评标参考价；有效投标人数量大于5家时，去掉一个投标</w:t>
      </w:r>
    </w:p>
    <w:p>
      <w:pPr>
        <w:autoSpaceDE w:val="0"/>
        <w:spacing w:line="320" w:lineRule="exact"/>
        <w:ind w:left="425" w:right="-48" w:rightChars="-17"/>
        <w:rPr>
          <w:rFonts w:hint="eastAsia" w:ascii="宋体" w:hAnsi="宋体" w:cs="FangSong_GB2312"/>
          <w:sz w:val="24"/>
        </w:rPr>
      </w:pPr>
      <w:r>
        <w:rPr>
          <w:rFonts w:ascii="宋体" w:hAnsi="宋体" w:cs="FangSong_GB2312"/>
          <w:sz w:val="24"/>
        </w:rPr>
        <w:t>报价最高值和一个最低值，取剩余投标人的投标报价平均值作为评标参考价</w:t>
      </w:r>
      <w:r>
        <w:rPr>
          <w:rFonts w:hint="eastAsia" w:ascii="宋体" w:hAnsi="宋体" w:cs="FangSong_GB2312"/>
          <w:sz w:val="24"/>
        </w:rPr>
        <w:t>。投标报价得分 = 20- |投标报价－评标参考价|÷评标参考价×100×1 ；</w:t>
      </w:r>
    </w:p>
    <w:p>
      <w:pPr>
        <w:numPr>
          <w:ilvl w:val="0"/>
          <w:numId w:val="15"/>
        </w:numPr>
        <w:autoSpaceDE w:val="0"/>
        <w:spacing w:line="320" w:lineRule="exact"/>
        <w:ind w:right="-48" w:rightChars="-17"/>
        <w:rPr>
          <w:rFonts w:hint="eastAsia" w:ascii="宋体" w:hAnsi="宋体" w:cs="FangSong_GB2312"/>
          <w:sz w:val="24"/>
        </w:rPr>
      </w:pPr>
      <w:r>
        <w:rPr>
          <w:rFonts w:hint="eastAsia" w:ascii="宋体" w:hAnsi="宋体" w:cs="FangSong_GB2312"/>
          <w:sz w:val="24"/>
        </w:rPr>
        <w:t>评分如出现小数点，则保留小数点后两位，第三位四舍五入。</w:t>
      </w:r>
    </w:p>
    <w:p>
      <w:pPr>
        <w:numPr>
          <w:ilvl w:val="0"/>
          <w:numId w:val="15"/>
        </w:numPr>
        <w:snapToGrid w:val="0"/>
        <w:spacing w:line="280" w:lineRule="exact"/>
        <w:rPr>
          <w:rFonts w:hint="eastAsia" w:ascii="宋体" w:hAnsi="宋体" w:cs="FangSong_GB2312"/>
          <w:sz w:val="24"/>
        </w:rPr>
      </w:pPr>
      <w:r>
        <w:rPr>
          <w:rFonts w:hint="eastAsia" w:ascii="宋体" w:hAnsi="宋体" w:cs="FangSong_GB2312"/>
          <w:sz w:val="24"/>
        </w:rPr>
        <w:t>若未提供企业资质与业绩及管理水平、驻场监理机构、监理方案等分项内容资料，该分项内容不得分，但不作否决投标处理。</w:t>
      </w:r>
    </w:p>
    <w:p>
      <w:pPr>
        <w:numPr>
          <w:ilvl w:val="0"/>
          <w:numId w:val="15"/>
        </w:numPr>
        <w:autoSpaceDE w:val="0"/>
        <w:spacing w:line="320" w:lineRule="exact"/>
        <w:ind w:right="-48" w:rightChars="-17"/>
        <w:rPr>
          <w:rFonts w:hint="eastAsia" w:ascii="宋体" w:hAnsi="宋体" w:cs="FangSong_GB2312"/>
          <w:sz w:val="24"/>
        </w:rPr>
      </w:pPr>
      <w:r>
        <w:rPr>
          <w:rFonts w:hint="eastAsia" w:ascii="宋体" w:hAnsi="宋体" w:cs="FangSong_GB2312"/>
          <w:sz w:val="24"/>
        </w:rPr>
        <w:t>投标人的相关资质或资格证书上所注的单位名称及法定代表人名称必须与营业执照上所注的单位名称及法定代表人名称一致，否则该相关单项不得分，但不作否决投标处理。</w:t>
      </w:r>
    </w:p>
    <w:p>
      <w:pPr>
        <w:pStyle w:val="2"/>
        <w:ind w:left="482" w:hanging="480" w:hangingChars="200"/>
        <w:rPr>
          <w:rFonts w:hint="eastAsia" w:ascii="宋体" w:hAnsi="宋体"/>
          <w:b/>
          <w:bCs/>
          <w:sz w:val="32"/>
          <w:szCs w:val="32"/>
        </w:rPr>
      </w:pPr>
      <w:r>
        <w:rPr>
          <w:rFonts w:hint="eastAsia" w:ascii="宋体" w:hAnsi="宋体" w:cs="FangSong_GB2312"/>
          <w:b w:val="0"/>
          <w:bCs w:val="0"/>
          <w:sz w:val="24"/>
          <w:lang w:val="en-US" w:eastAsia="zh-CN"/>
        </w:rPr>
        <w:t>11.</w:t>
      </w:r>
      <w:r>
        <w:rPr>
          <w:rFonts w:hint="eastAsia" w:ascii="宋体" w:hAnsi="宋体" w:cs="FangSong_GB2312"/>
          <w:sz w:val="24"/>
        </w:rPr>
        <w:t>企业安全资历中安全事故企业名单以广东省建设行政主管部门发出的相关文件公布的企业名单为准。</w:t>
      </w:r>
    </w:p>
    <w:p/>
    <w:p/>
    <w:p/>
    <w:p/>
    <w:p/>
    <w:p/>
    <w:p/>
    <w:p/>
    <w:p/>
    <w:p/>
    <w:p/>
    <w:p/>
    <w:p/>
    <w:p/>
    <w:p/>
    <w:p>
      <w:pPr>
        <w:pStyle w:val="2"/>
        <w:ind w:firstLine="0" w:firstLineChars="0"/>
        <w:jc w:val="both"/>
        <w:rPr>
          <w:rFonts w:hint="eastAsia" w:ascii="宋体" w:hAnsi="宋体"/>
          <w:b/>
          <w:bCs/>
          <w:sz w:val="32"/>
          <w:szCs w:val="32"/>
          <w:lang w:eastAsia="zh-CN"/>
        </w:rPr>
      </w:pPr>
      <w:r>
        <w:rPr>
          <w:rFonts w:hint="eastAsia" w:ascii="宋体" w:hAnsi="宋体"/>
          <w:b/>
          <w:bCs/>
          <w:sz w:val="32"/>
          <w:szCs w:val="32"/>
          <w:lang w:eastAsia="zh-CN"/>
        </w:rPr>
        <w:t>附件二：罗定市人民医院新院建设项目（监理招标）</w:t>
      </w:r>
    </w:p>
    <w:p>
      <w:pPr>
        <w:pStyle w:val="2"/>
        <w:ind w:firstLine="0" w:firstLineChars="0"/>
        <w:jc w:val="center"/>
        <w:rPr>
          <w:rFonts w:hint="eastAsia" w:ascii="宋体" w:hAnsi="宋体"/>
          <w:b/>
          <w:bCs/>
          <w:sz w:val="32"/>
          <w:szCs w:val="32"/>
          <w:lang w:eastAsia="zh-CN"/>
        </w:rPr>
      </w:pPr>
      <w:r>
        <w:rPr>
          <w:rFonts w:hint="eastAsia" w:ascii="宋体" w:hAnsi="宋体"/>
          <w:b/>
          <w:bCs/>
          <w:sz w:val="32"/>
          <w:szCs w:val="32"/>
          <w:lang w:eastAsia="zh-CN"/>
        </w:rPr>
        <w:t>原件核对一览表</w:t>
      </w:r>
    </w:p>
    <w:p>
      <w:pPr>
        <w:pStyle w:val="2"/>
        <w:spacing w:after="156" w:afterLines="50" w:line="460" w:lineRule="exact"/>
        <w:ind w:firstLine="0" w:firstLineChars="0"/>
        <w:rPr>
          <w:rFonts w:hint="eastAsia" w:ascii="宋体" w:hAnsi="宋体"/>
          <w:b/>
          <w:sz w:val="24"/>
          <w:szCs w:val="24"/>
          <w:u w:val="single"/>
        </w:rPr>
      </w:pPr>
      <w:r>
        <w:rPr>
          <w:rFonts w:hint="eastAsia" w:ascii="宋体" w:hAnsi="宋体"/>
          <w:b/>
          <w:sz w:val="24"/>
          <w:szCs w:val="24"/>
        </w:rPr>
        <w:t>投标人（盖章）：</w:t>
      </w:r>
      <w:r>
        <w:rPr>
          <w:rFonts w:hint="eastAsia" w:ascii="宋体" w:hAnsi="宋体"/>
          <w:b/>
          <w:sz w:val="24"/>
          <w:szCs w:val="24"/>
          <w:u w:val="single"/>
        </w:rPr>
        <w:t xml:space="preserve">                           </w:t>
      </w:r>
    </w:p>
    <w:tbl>
      <w:tblPr>
        <w:tblStyle w:val="8"/>
        <w:tblW w:w="9102"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1093"/>
        <w:gridCol w:w="945"/>
        <w:gridCol w:w="869"/>
        <w:gridCol w:w="2955"/>
        <w:gridCol w:w="960"/>
        <w:gridCol w:w="961"/>
        <w:gridCol w:w="70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Header/>
        </w:trPr>
        <w:tc>
          <w:tcPr>
            <w:tcW w:w="61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
                <w:sz w:val="24"/>
                <w:szCs w:val="24"/>
              </w:rPr>
            </w:pPr>
            <w:r>
              <w:rPr>
                <w:rFonts w:hint="eastAsia" w:ascii="宋体" w:hAnsi="宋体"/>
                <w:b/>
                <w:sz w:val="24"/>
                <w:szCs w:val="24"/>
              </w:rPr>
              <w:t>序号</w:t>
            </w:r>
          </w:p>
        </w:tc>
        <w:tc>
          <w:tcPr>
            <w:tcW w:w="2907" w:type="dxa"/>
            <w:gridSpan w:val="3"/>
            <w:vAlign w:val="center"/>
          </w:tcPr>
          <w:p>
            <w:pPr>
              <w:pStyle w:val="2"/>
              <w:spacing w:before="31" w:beforeLines="10" w:after="31" w:afterLines="10" w:line="320" w:lineRule="exact"/>
              <w:ind w:left="28" w:leftChars="10" w:right="28" w:rightChars="10" w:firstLine="0" w:firstLineChars="0"/>
              <w:jc w:val="center"/>
              <w:rPr>
                <w:rFonts w:hint="eastAsia" w:ascii="宋体" w:hAnsi="宋体"/>
                <w:b/>
                <w:sz w:val="24"/>
                <w:szCs w:val="24"/>
              </w:rPr>
            </w:pPr>
            <w:r>
              <w:rPr>
                <w:rFonts w:hint="eastAsia" w:ascii="宋体" w:hAnsi="宋体"/>
                <w:b/>
                <w:sz w:val="24"/>
                <w:szCs w:val="24"/>
              </w:rPr>
              <w:t>项目</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
                <w:sz w:val="24"/>
                <w:szCs w:val="24"/>
              </w:rPr>
            </w:pPr>
            <w:r>
              <w:rPr>
                <w:rFonts w:hint="eastAsia" w:ascii="宋体" w:hAnsi="宋体"/>
                <w:b/>
                <w:sz w:val="24"/>
                <w:szCs w:val="24"/>
              </w:rPr>
              <w:t>提交资料要求</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
                <w:sz w:val="24"/>
                <w:szCs w:val="24"/>
              </w:rPr>
            </w:pPr>
            <w:r>
              <w:rPr>
                <w:rFonts w:hint="eastAsia" w:ascii="宋体" w:hAnsi="宋体"/>
                <w:b/>
                <w:sz w:val="24"/>
                <w:szCs w:val="24"/>
              </w:rPr>
              <w:t>页码</w:t>
            </w: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
                <w:sz w:val="24"/>
                <w:szCs w:val="24"/>
              </w:rPr>
            </w:pPr>
            <w:r>
              <w:rPr>
                <w:rFonts w:hint="eastAsia" w:ascii="宋体" w:hAnsi="宋体"/>
                <w:b/>
                <w:sz w:val="24"/>
                <w:szCs w:val="24"/>
              </w:rPr>
              <w:t>核对情况</w:t>
            </w: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trPr>
        <w:tc>
          <w:tcPr>
            <w:tcW w:w="610"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1</w:t>
            </w:r>
          </w:p>
        </w:tc>
        <w:tc>
          <w:tcPr>
            <w:tcW w:w="2907" w:type="dxa"/>
            <w:gridSpan w:val="3"/>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企业监理能力</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机电安装工程监理资质证书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2907" w:type="dxa"/>
            <w:gridSpan w:val="3"/>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电力工程监理资质证书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4"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2907" w:type="dxa"/>
            <w:gridSpan w:val="3"/>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人防工程监理资质证书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1" w:hRule="atLeast"/>
        </w:trPr>
        <w:tc>
          <w:tcPr>
            <w:tcW w:w="61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2</w:t>
            </w:r>
          </w:p>
        </w:tc>
        <w:tc>
          <w:tcPr>
            <w:tcW w:w="2907" w:type="dxa"/>
            <w:gridSpan w:val="3"/>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企业财务能力</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营业执照副本</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3</w:t>
            </w:r>
          </w:p>
        </w:tc>
        <w:tc>
          <w:tcPr>
            <w:tcW w:w="2907" w:type="dxa"/>
            <w:gridSpan w:val="3"/>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类似工程业绩</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中标通知书或监理合同</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4</w:t>
            </w:r>
          </w:p>
        </w:tc>
        <w:tc>
          <w:tcPr>
            <w:tcW w:w="1093"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获奖工程业绩</w:t>
            </w:r>
          </w:p>
        </w:tc>
        <w:tc>
          <w:tcPr>
            <w:tcW w:w="1814"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工程1</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获奖证书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814"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工程2</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获奖证书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
                <w:bCs/>
                <w:sz w:val="24"/>
                <w:szCs w:val="24"/>
              </w:rPr>
            </w:pPr>
            <w:r>
              <w:rPr>
                <w:rFonts w:hint="eastAsia" w:ascii="宋体" w:hAnsi="宋体"/>
                <w:b/>
                <w:bCs/>
                <w:sz w:val="24"/>
                <w:szCs w:val="24"/>
              </w:rPr>
              <w:t>5</w:t>
            </w:r>
          </w:p>
        </w:tc>
        <w:tc>
          <w:tcPr>
            <w:tcW w:w="2907" w:type="dxa"/>
            <w:gridSpan w:val="3"/>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“守合同重信用”</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“守合同重信用”公示证明</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6</w:t>
            </w:r>
          </w:p>
        </w:tc>
        <w:tc>
          <w:tcPr>
            <w:tcW w:w="2907" w:type="dxa"/>
            <w:gridSpan w:val="3"/>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诚信示范企业</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“诚信示范企业”证书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7</w:t>
            </w:r>
          </w:p>
        </w:tc>
        <w:tc>
          <w:tcPr>
            <w:tcW w:w="2907" w:type="dxa"/>
            <w:gridSpan w:val="3"/>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企业荣誉</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先进工程监理企业证书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7</w:t>
            </w:r>
          </w:p>
        </w:tc>
        <w:tc>
          <w:tcPr>
            <w:tcW w:w="1093"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驻地监理人员配备情况</w:t>
            </w:r>
          </w:p>
        </w:tc>
        <w:tc>
          <w:tcPr>
            <w:tcW w:w="945"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总监理工程师</w:t>
            </w:r>
          </w:p>
        </w:tc>
        <w:tc>
          <w:tcPr>
            <w:tcW w:w="869"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姓名</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监理工程师注册证书</w:t>
            </w:r>
          </w:p>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（房屋建筑工程专业）</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945"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869"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监理工程师资格证书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945"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总监代表</w:t>
            </w:r>
          </w:p>
        </w:tc>
        <w:tc>
          <w:tcPr>
            <w:tcW w:w="869"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姓名</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监理工程师注册证书</w:t>
            </w:r>
          </w:p>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（房屋建筑工程专业）</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945"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869"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高级工程师职称证</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945"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869" w:type="dxa"/>
            <w:vMerge w:val="continue"/>
            <w:vAlign w:val="center"/>
          </w:tcPr>
          <w:p>
            <w:pPr>
              <w:pStyle w:val="2"/>
              <w:spacing w:before="31" w:beforeLines="10" w:after="31" w:afterLines="10" w:line="320" w:lineRule="exact"/>
              <w:ind w:left="28" w:leftChars="10" w:right="28" w:rightChars="10" w:firstLine="480"/>
              <w:jc w:val="center"/>
              <w:rPr>
                <w:rFonts w:hint="eastAsia" w:ascii="宋体" w:hAnsi="宋体"/>
                <w:sz w:val="24"/>
                <w:szCs w:val="24"/>
              </w:rPr>
            </w:pP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优秀总监理工程师证书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p>
        </w:tc>
        <w:tc>
          <w:tcPr>
            <w:tcW w:w="945"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机电安装工程专业监理工程师</w:t>
            </w:r>
          </w:p>
        </w:tc>
        <w:tc>
          <w:tcPr>
            <w:tcW w:w="869"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姓名</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监理工程师注册证书</w:t>
            </w:r>
          </w:p>
          <w:p>
            <w:pPr>
              <w:pStyle w:val="2"/>
              <w:spacing w:before="31" w:beforeLines="10" w:after="31" w:afterLines="10" w:line="320" w:lineRule="exact"/>
              <w:ind w:left="28" w:leftChars="10" w:right="28" w:rightChars="10" w:firstLine="0" w:firstLineChars="0"/>
              <w:jc w:val="center"/>
              <w:rPr>
                <w:rFonts w:hint="eastAsia" w:ascii="宋体" w:hAnsi="宋体"/>
                <w:sz w:val="24"/>
                <w:szCs w:val="24"/>
              </w:rPr>
            </w:pPr>
            <w:r>
              <w:rPr>
                <w:rFonts w:hint="eastAsia" w:ascii="宋体" w:hAnsi="宋体"/>
                <w:sz w:val="24"/>
                <w:szCs w:val="24"/>
              </w:rPr>
              <w:t>（机电安装工程专业）</w:t>
            </w:r>
          </w:p>
        </w:tc>
        <w:tc>
          <w:tcPr>
            <w:tcW w:w="960"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45"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869"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
                <w:bCs/>
                <w:color w:val="FF0000"/>
                <w:sz w:val="24"/>
                <w:szCs w:val="24"/>
              </w:rPr>
            </w:pPr>
            <w:r>
              <w:rPr>
                <w:rFonts w:hint="eastAsia" w:ascii="宋体" w:hAnsi="宋体"/>
                <w:sz w:val="24"/>
                <w:szCs w:val="24"/>
              </w:rPr>
              <w:t>高级工程师职称证</w:t>
            </w:r>
          </w:p>
        </w:tc>
        <w:tc>
          <w:tcPr>
            <w:tcW w:w="96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4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造价工程师</w:t>
            </w:r>
          </w:p>
        </w:tc>
        <w:tc>
          <w:tcPr>
            <w:tcW w:w="869"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姓名</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造价工程师注册证书</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45" w:type="dxa"/>
            <w:vMerge w:val="restart"/>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监理员</w:t>
            </w:r>
          </w:p>
        </w:tc>
        <w:tc>
          <w:tcPr>
            <w:tcW w:w="869"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姓名1</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监理员资格证或监理工程师注册证或监理工程师资格证</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45"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869"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姓名2</w:t>
            </w:r>
          </w:p>
        </w:tc>
        <w:tc>
          <w:tcPr>
            <w:tcW w:w="2955" w:type="dxa"/>
            <w:vAlign w:val="top"/>
          </w:tcPr>
          <w:p>
            <w:r>
              <w:rPr>
                <w:rFonts w:hint="eastAsia" w:ascii="宋体" w:hAnsi="宋体"/>
                <w:bCs/>
                <w:sz w:val="24"/>
              </w:rPr>
              <w:t>监理员资格证或监理工程师注册证或监理工程师资格证</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45"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869"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姓名3</w:t>
            </w:r>
          </w:p>
        </w:tc>
        <w:tc>
          <w:tcPr>
            <w:tcW w:w="2955" w:type="dxa"/>
            <w:vAlign w:val="top"/>
          </w:tcPr>
          <w:p>
            <w:r>
              <w:rPr>
                <w:rFonts w:hint="eastAsia" w:ascii="宋体" w:hAnsi="宋体"/>
                <w:bCs/>
                <w:sz w:val="24"/>
              </w:rPr>
              <w:t>监理员资格证或监理工程师注册证或监理工程师资格证</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610"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1093" w:type="dxa"/>
            <w:vMerge w:val="continue"/>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4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安全监理员</w:t>
            </w:r>
          </w:p>
        </w:tc>
        <w:tc>
          <w:tcPr>
            <w:tcW w:w="869"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姓名</w:t>
            </w:r>
          </w:p>
        </w:tc>
        <w:tc>
          <w:tcPr>
            <w:tcW w:w="2955"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r>
              <w:rPr>
                <w:rFonts w:hint="eastAsia" w:ascii="宋体" w:hAnsi="宋体"/>
                <w:bCs/>
                <w:sz w:val="24"/>
                <w:szCs w:val="24"/>
              </w:rPr>
              <w:t>安全监理员资格证或监理工程师注册证或监理工程师资格证</w:t>
            </w:r>
          </w:p>
        </w:tc>
        <w:tc>
          <w:tcPr>
            <w:tcW w:w="960"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961" w:type="dxa"/>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c>
          <w:tcPr>
            <w:tcW w:w="709" w:type="dxa"/>
            <w:gridSpan w:val="2"/>
            <w:vAlign w:val="center"/>
          </w:tcPr>
          <w:p>
            <w:pPr>
              <w:pStyle w:val="2"/>
              <w:spacing w:before="31" w:beforeLines="10" w:after="31" w:afterLines="10" w:line="320" w:lineRule="exact"/>
              <w:ind w:left="28" w:leftChars="10" w:right="28" w:rightChars="10" w:firstLine="0" w:firstLineChars="0"/>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6" w:type="dxa"/>
          <w:trHeight w:val="510" w:hRule="atLeast"/>
        </w:trPr>
        <w:tc>
          <w:tcPr>
            <w:tcW w:w="9096" w:type="dxa"/>
            <w:gridSpan w:val="8"/>
            <w:vAlign w:val="center"/>
          </w:tcPr>
          <w:p>
            <w:pPr>
              <w:pStyle w:val="2"/>
              <w:spacing w:before="31" w:beforeLines="10" w:after="31" w:afterLines="10" w:line="320" w:lineRule="exact"/>
              <w:ind w:left="28" w:leftChars="10" w:right="28" w:rightChars="10" w:firstLine="0" w:firstLineChars="0"/>
              <w:jc w:val="left"/>
              <w:rPr>
                <w:rFonts w:hint="eastAsia" w:ascii="宋体" w:hAnsi="宋体"/>
                <w:bCs/>
                <w:sz w:val="24"/>
                <w:szCs w:val="24"/>
              </w:rPr>
            </w:pPr>
            <w:r>
              <w:rPr>
                <w:rFonts w:hint="eastAsia" w:ascii="宋体" w:hAnsi="宋体"/>
                <w:bCs/>
                <w:sz w:val="24"/>
                <w:szCs w:val="24"/>
              </w:rPr>
              <w:t>招标人（或招标代理）资料核对人员签名：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6" w:type="dxa"/>
          <w:trHeight w:val="510" w:hRule="atLeast"/>
        </w:trPr>
        <w:tc>
          <w:tcPr>
            <w:tcW w:w="9096" w:type="dxa"/>
            <w:gridSpan w:val="8"/>
            <w:vAlign w:val="center"/>
          </w:tcPr>
          <w:p>
            <w:pPr>
              <w:pStyle w:val="2"/>
              <w:spacing w:before="31" w:beforeLines="10" w:after="31" w:afterLines="10" w:line="320" w:lineRule="exact"/>
              <w:ind w:left="28" w:leftChars="10" w:right="28" w:rightChars="10" w:firstLine="0" w:firstLineChars="0"/>
              <w:jc w:val="left"/>
              <w:rPr>
                <w:rFonts w:hint="eastAsia" w:ascii="宋体" w:hAnsi="宋体"/>
                <w:bCs/>
                <w:sz w:val="24"/>
                <w:szCs w:val="24"/>
              </w:rPr>
            </w:pPr>
            <w:r>
              <w:rPr>
                <w:rFonts w:hint="eastAsia" w:ascii="宋体" w:hAnsi="宋体"/>
                <w:bCs/>
                <w:sz w:val="24"/>
                <w:szCs w:val="24"/>
              </w:rPr>
              <w:t>投标人委托代理人签名：</w:t>
            </w:r>
          </w:p>
        </w:tc>
      </w:tr>
    </w:tbl>
    <w:p>
      <w:pPr>
        <w:pStyle w:val="2"/>
        <w:tabs>
          <w:tab w:val="left" w:pos="525"/>
        </w:tabs>
        <w:spacing w:line="280" w:lineRule="exact"/>
        <w:ind w:right="137" w:rightChars="49" w:firstLine="0" w:firstLineChars="0"/>
        <w:rPr>
          <w:rFonts w:hint="eastAsia" w:ascii="宋体" w:hAnsi="宋体" w:cs="FangSong_GB2312"/>
          <w:szCs w:val="21"/>
        </w:rPr>
      </w:pPr>
    </w:p>
    <w:p>
      <w:pPr>
        <w:pStyle w:val="2"/>
        <w:tabs>
          <w:tab w:val="left" w:pos="525"/>
        </w:tabs>
        <w:spacing w:line="280" w:lineRule="exact"/>
        <w:ind w:right="137" w:rightChars="49" w:firstLine="0" w:firstLineChars="0"/>
        <w:rPr>
          <w:rFonts w:hint="eastAsia" w:ascii="宋体" w:hAnsi="宋体" w:cs="FangSong_GB2312"/>
          <w:sz w:val="24"/>
          <w:szCs w:val="24"/>
        </w:rPr>
      </w:pPr>
      <w:r>
        <w:rPr>
          <w:rFonts w:hint="eastAsia" w:ascii="宋体" w:hAnsi="宋体" w:cs="FangSong_GB2312"/>
          <w:sz w:val="24"/>
          <w:szCs w:val="24"/>
        </w:rPr>
        <w:t>注：</w:t>
      </w:r>
    </w:p>
    <w:p>
      <w:pPr>
        <w:pStyle w:val="2"/>
        <w:numPr>
          <w:ilvl w:val="1"/>
          <w:numId w:val="16"/>
        </w:numPr>
        <w:tabs>
          <w:tab w:val="left" w:pos="525"/>
        </w:tabs>
        <w:spacing w:line="280" w:lineRule="exact"/>
        <w:ind w:left="527" w:right="137" w:rightChars="49" w:hanging="527" w:firstLineChars="0"/>
        <w:rPr>
          <w:rFonts w:hint="eastAsia" w:ascii="宋体" w:hAnsi="宋体" w:cs="FangSong_GB2312"/>
          <w:sz w:val="24"/>
          <w:szCs w:val="24"/>
        </w:rPr>
      </w:pPr>
      <w:r>
        <w:rPr>
          <w:rFonts w:hint="eastAsia" w:ascii="宋体" w:hAnsi="宋体" w:cs="FangSong_GB2312"/>
          <w:sz w:val="24"/>
          <w:szCs w:val="24"/>
        </w:rPr>
        <w:t>本表一式一份，不含入投标文件包封内，开标后评标前由投标单位另外提供。</w:t>
      </w:r>
    </w:p>
    <w:p>
      <w:pPr>
        <w:pStyle w:val="2"/>
        <w:numPr>
          <w:ilvl w:val="1"/>
          <w:numId w:val="16"/>
        </w:numPr>
        <w:tabs>
          <w:tab w:val="left" w:pos="525"/>
        </w:tabs>
        <w:spacing w:line="280" w:lineRule="exact"/>
        <w:ind w:left="527" w:right="137" w:rightChars="49" w:hanging="527" w:firstLineChars="0"/>
        <w:rPr>
          <w:rFonts w:hint="eastAsia" w:ascii="宋体" w:hAnsi="宋体" w:cs="FangSong_GB2312"/>
          <w:sz w:val="24"/>
          <w:szCs w:val="24"/>
        </w:rPr>
      </w:pPr>
      <w:r>
        <w:rPr>
          <w:rFonts w:hint="eastAsia" w:ascii="宋体" w:hAnsi="宋体" w:cs="FangSong_GB2312"/>
          <w:sz w:val="24"/>
          <w:szCs w:val="24"/>
        </w:rPr>
        <w:t>表格可按照原格式扩展。</w:t>
      </w:r>
    </w:p>
    <w:p>
      <w:pPr>
        <w:pStyle w:val="2"/>
        <w:numPr>
          <w:ilvl w:val="1"/>
          <w:numId w:val="16"/>
        </w:numPr>
        <w:tabs>
          <w:tab w:val="left" w:pos="525"/>
        </w:tabs>
        <w:spacing w:line="280" w:lineRule="exact"/>
        <w:ind w:left="527" w:right="137" w:rightChars="49" w:hanging="527" w:firstLineChars="0"/>
        <w:rPr>
          <w:rFonts w:hint="eastAsia" w:ascii="宋体" w:hAnsi="宋体" w:cs="FangSong_GB2312"/>
          <w:sz w:val="24"/>
          <w:szCs w:val="24"/>
        </w:rPr>
      </w:pPr>
      <w:r>
        <w:rPr>
          <w:rFonts w:hint="eastAsia" w:ascii="宋体" w:hAnsi="宋体" w:cs="FangSong_GB2312"/>
          <w:sz w:val="24"/>
          <w:szCs w:val="24"/>
        </w:rPr>
        <w:t>本表“核对情况”及“备注”栏，投标单位须留空，由招标人（或招标代理）审核后填写。</w:t>
      </w:r>
    </w:p>
    <w:p>
      <w:pPr>
        <w:pStyle w:val="2"/>
        <w:numPr>
          <w:ilvl w:val="1"/>
          <w:numId w:val="16"/>
        </w:numPr>
        <w:tabs>
          <w:tab w:val="left" w:pos="525"/>
        </w:tabs>
        <w:spacing w:line="280" w:lineRule="exact"/>
        <w:ind w:left="527" w:right="137" w:rightChars="49" w:hanging="527" w:firstLineChars="0"/>
        <w:rPr>
          <w:rFonts w:hint="eastAsia" w:ascii="宋体" w:hAnsi="宋体" w:cs="FangSong_GB2312"/>
          <w:sz w:val="24"/>
          <w:szCs w:val="24"/>
        </w:rPr>
      </w:pPr>
      <w:r>
        <w:rPr>
          <w:rFonts w:hint="eastAsia" w:ascii="宋体" w:hAnsi="宋体" w:cs="FangSong_GB2312"/>
          <w:sz w:val="24"/>
          <w:szCs w:val="24"/>
        </w:rPr>
        <w:t>开标后评标前，投标人提供本表以及资料原件，交予招标人（或招标代理）核对，经核对原件与正本对应资料一致后，原件立即退回。原件核对时须对各投标单位逐家单独立核对，其他投标人必须回避。</w:t>
      </w:r>
    </w:p>
    <w:p>
      <w:pPr>
        <w:pStyle w:val="2"/>
        <w:numPr>
          <w:ilvl w:val="1"/>
          <w:numId w:val="16"/>
        </w:numPr>
        <w:tabs>
          <w:tab w:val="left" w:pos="525"/>
        </w:tabs>
        <w:spacing w:line="280" w:lineRule="exact"/>
        <w:ind w:left="527" w:right="137" w:rightChars="49" w:hanging="527" w:firstLineChars="0"/>
        <w:rPr>
          <w:rFonts w:hint="eastAsia" w:ascii="宋体" w:hAnsi="宋体" w:cs="FangSong_GB2312"/>
          <w:sz w:val="24"/>
          <w:szCs w:val="24"/>
        </w:rPr>
      </w:pPr>
      <w:r>
        <w:rPr>
          <w:rFonts w:hint="eastAsia" w:ascii="宋体" w:hAnsi="宋体" w:cs="FangSong_GB2312"/>
          <w:sz w:val="24"/>
          <w:szCs w:val="24"/>
        </w:rPr>
        <w:t>招标人（或招标代理）只核对表格有表述的内</w:t>
      </w:r>
      <w:bookmarkStart w:id="0" w:name="_GoBack"/>
      <w:bookmarkEnd w:id="0"/>
      <w:r>
        <w:rPr>
          <w:rFonts w:hint="eastAsia" w:ascii="宋体" w:hAnsi="宋体" w:cs="FangSong_GB2312"/>
          <w:sz w:val="24"/>
          <w:szCs w:val="24"/>
        </w:rPr>
        <w:t>容原件，如投标人带了原件但原件核对一览表中未填写该项，则该项不予核对，但不作</w:t>
      </w:r>
      <w:r>
        <w:rPr>
          <w:rFonts w:hint="eastAsia" w:ascii="宋体" w:hAnsi="宋体" w:cs="FangSong_GB2312"/>
          <w:sz w:val="24"/>
        </w:rPr>
        <w:t>否决投标</w:t>
      </w:r>
      <w:r>
        <w:rPr>
          <w:rFonts w:hint="eastAsia" w:ascii="宋体" w:hAnsi="宋体" w:cs="FangSong_GB2312"/>
          <w:sz w:val="24"/>
          <w:szCs w:val="24"/>
        </w:rPr>
        <w:t>处理。</w:t>
      </w:r>
    </w:p>
    <w:p>
      <w:pPr>
        <w:pStyle w:val="2"/>
        <w:numPr>
          <w:ilvl w:val="1"/>
          <w:numId w:val="16"/>
        </w:numPr>
        <w:tabs>
          <w:tab w:val="left" w:pos="525"/>
        </w:tabs>
        <w:spacing w:line="280" w:lineRule="exact"/>
        <w:ind w:left="527" w:right="137" w:rightChars="49" w:hanging="527" w:firstLineChars="0"/>
        <w:rPr>
          <w:rFonts w:hint="eastAsia" w:ascii="宋体" w:hAnsi="宋体" w:cs="FangSong_GB2312"/>
          <w:sz w:val="24"/>
          <w:szCs w:val="24"/>
        </w:rPr>
      </w:pPr>
      <w:r>
        <w:rPr>
          <w:rFonts w:hint="eastAsia" w:ascii="宋体" w:hAnsi="宋体" w:cs="FangSong_GB2312"/>
          <w:sz w:val="24"/>
          <w:szCs w:val="24"/>
        </w:rPr>
        <w:t>投标人如未能提供原件核对一览表中相关资料原件，则不予计算该相关项的分数，，但不作</w:t>
      </w:r>
      <w:r>
        <w:rPr>
          <w:rFonts w:hint="eastAsia" w:ascii="宋体" w:hAnsi="宋体" w:cs="FangSong_GB2312"/>
          <w:sz w:val="24"/>
        </w:rPr>
        <w:t>否决投标</w:t>
      </w:r>
      <w:r>
        <w:rPr>
          <w:rFonts w:hint="eastAsia" w:ascii="宋体" w:hAnsi="宋体" w:cs="FangSong_GB2312"/>
          <w:sz w:val="24"/>
          <w:szCs w:val="24"/>
        </w:rPr>
        <w:t>处理。</w:t>
      </w:r>
    </w:p>
    <w:p>
      <w:pPr>
        <w:pStyle w:val="2"/>
        <w:numPr>
          <w:ilvl w:val="1"/>
          <w:numId w:val="16"/>
        </w:numPr>
        <w:tabs>
          <w:tab w:val="left" w:pos="525"/>
        </w:tabs>
        <w:spacing w:line="280" w:lineRule="exact"/>
        <w:ind w:left="527" w:right="137" w:rightChars="49" w:hanging="527" w:firstLineChars="0"/>
        <w:rPr>
          <w:rFonts w:hint="eastAsia" w:ascii="宋体" w:hAnsi="宋体" w:cs="FangSong_GB2312"/>
          <w:sz w:val="24"/>
          <w:szCs w:val="24"/>
        </w:rPr>
      </w:pPr>
      <w:r>
        <w:rPr>
          <w:rFonts w:hint="eastAsia" w:ascii="宋体" w:hAnsi="宋体" w:cs="FangSong_GB2312"/>
          <w:sz w:val="24"/>
          <w:szCs w:val="24"/>
        </w:rPr>
        <w:t>所有证明材料的企业名称必须与投标人名称一致，否则不予核对原件（如企业名称有变更，可提供变更证明材料则予以核对其原件）。</w:t>
      </w:r>
    </w:p>
    <w:p>
      <w:pPr>
        <w:pStyle w:val="2"/>
        <w:numPr>
          <w:ilvl w:val="1"/>
          <w:numId w:val="16"/>
        </w:numPr>
        <w:tabs>
          <w:tab w:val="left" w:pos="525"/>
        </w:tabs>
        <w:spacing w:line="280" w:lineRule="exact"/>
        <w:ind w:left="527" w:right="137" w:rightChars="49" w:hanging="527" w:firstLineChars="0"/>
        <w:rPr>
          <w:rFonts w:hint="eastAsia" w:ascii="宋体" w:hAnsi="宋体" w:cs="FangSong_GB2312"/>
          <w:sz w:val="24"/>
          <w:szCs w:val="24"/>
        </w:rPr>
      </w:pPr>
      <w:r>
        <w:rPr>
          <w:rFonts w:hint="eastAsia" w:ascii="宋体" w:hAnsi="宋体" w:cs="FangSong_GB2312"/>
          <w:sz w:val="24"/>
          <w:szCs w:val="24"/>
        </w:rPr>
        <w:t>招标人（或招标代理）单独对投标人</w:t>
      </w:r>
      <w:r>
        <w:rPr>
          <w:rFonts w:hint="eastAsia" w:ascii="宋体" w:hAnsi="宋体" w:cs="FangSong_GB2312"/>
          <w:sz w:val="24"/>
          <w:szCs w:val="24"/>
          <w:lang w:eastAsia="zh-CN"/>
        </w:rPr>
        <w:t>。</w:t>
      </w:r>
    </w:p>
    <w:p>
      <w:pPr>
        <w:pStyle w:val="2"/>
        <w:numPr>
          <w:ilvl w:val="1"/>
          <w:numId w:val="16"/>
        </w:numPr>
        <w:tabs>
          <w:tab w:val="left" w:pos="525"/>
        </w:tabs>
        <w:spacing w:line="280" w:lineRule="exact"/>
        <w:ind w:left="527" w:right="137" w:rightChars="49" w:hanging="527" w:firstLineChars="0"/>
        <w:rPr>
          <w:rFonts w:hint="eastAsia" w:ascii="宋体" w:hAnsi="宋体" w:cs="FangSong_GB2312"/>
          <w:color w:val="auto"/>
          <w:sz w:val="24"/>
          <w:szCs w:val="24"/>
        </w:rPr>
      </w:pPr>
      <w:r>
        <w:rPr>
          <w:rFonts w:hint="eastAsia" w:ascii="宋体" w:hAnsi="宋体" w:cs="FangSong_GB2312"/>
          <w:color w:val="auto"/>
          <w:sz w:val="24"/>
          <w:szCs w:val="24"/>
          <w:lang w:eastAsia="zh-CN"/>
        </w:rPr>
        <w:t>原件核对时须对各投标单位逐家单独核对，其他投标人必须回避。</w:t>
      </w:r>
    </w:p>
    <w:p>
      <w:pPr>
        <w:pStyle w:val="2"/>
        <w:spacing w:after="156" w:afterLines="50" w:line="460" w:lineRule="exact"/>
        <w:ind w:firstLine="0" w:firstLineChars="0"/>
        <w:rPr>
          <w:rFonts w:hint="eastAsia" w:ascii="宋体" w:hAnsi="宋体"/>
          <w:b/>
          <w:sz w:val="24"/>
          <w:szCs w:val="24"/>
          <w:u w:val="single"/>
        </w:rPr>
      </w:pPr>
      <w:r>
        <w:rPr>
          <w:rFonts w:hint="eastAsia" w:ascii="宋体" w:hAnsi="宋体" w:cs="FangSong_GB2312"/>
          <w:sz w:val="24"/>
          <w:szCs w:val="24"/>
          <w:lang w:val="en-US" w:eastAsia="zh-CN"/>
        </w:rPr>
        <w:t>10、</w:t>
      </w:r>
      <w:r>
        <w:rPr>
          <w:rFonts w:hint="eastAsia" w:ascii="宋体" w:hAnsi="宋体" w:cs="FangSong_GB2312"/>
          <w:sz w:val="24"/>
          <w:szCs w:val="24"/>
        </w:rPr>
        <w:t>招标人保留对投标人所提供的资料进行重新核定或要求澄清的权利。</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Dialog">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KaiTi_GB2312">
    <w:altName w:val="宋体"/>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BatangChe">
    <w:panose1 w:val="02030609000101010101"/>
    <w:charset w:val="81"/>
    <w:family w:val="modern"/>
    <w:pitch w:val="default"/>
    <w:sig w:usb0="B00002AF" w:usb1="69D77CFB" w:usb2="00000030" w:usb3="00000000" w:csb0="4008009F" w:csb1="DFD70000"/>
  </w:font>
  <w:font w:name="FangSong_GB2312">
    <w:altName w:val="仿宋"/>
    <w:panose1 w:val="02010609060101010101"/>
    <w:charset w:val="86"/>
    <w:family w:val="modern"/>
    <w:pitch w:val="default"/>
    <w:sig w:usb0="00000000" w:usb1="00000000" w:usb2="00000016" w:usb3="00000000" w:csb0="00040001" w:csb1="00000000"/>
  </w:font>
  <w:font w:name="GulimChe">
    <w:panose1 w:val="020B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1260"/>
        </w:tabs>
        <w:ind w:left="1260" w:hanging="420"/>
      </w:pPr>
      <w:rPr>
        <w:rFonts w:hint="eastAsia" w:ascii="宋体" w:hAnsi="宋体" w:eastAsia="宋体"/>
      </w:rPr>
    </w:lvl>
    <w:lvl w:ilvl="1" w:tentative="0">
      <w:start w:val="1"/>
      <w:numFmt w:val="decimal"/>
      <w:lvlText w:val="%2、"/>
      <w:lvlJc w:val="left"/>
      <w:pPr>
        <w:tabs>
          <w:tab w:val="left" w:pos="846"/>
        </w:tabs>
        <w:ind w:left="846"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801E7E"/>
    <w:multiLevelType w:val="singleLevel"/>
    <w:tmpl w:val="54801E7E"/>
    <w:lvl w:ilvl="0" w:tentative="0">
      <w:start w:val="1"/>
      <w:numFmt w:val="lowerLetter"/>
      <w:lvlText w:val="%1."/>
      <w:lvlJc w:val="left"/>
      <w:pPr>
        <w:tabs>
          <w:tab w:val="left" w:pos="425"/>
        </w:tabs>
        <w:ind w:left="425" w:hanging="425"/>
      </w:pPr>
      <w:rPr>
        <w:rFonts w:hint="default"/>
      </w:rPr>
    </w:lvl>
  </w:abstractNum>
  <w:abstractNum w:abstractNumId="2">
    <w:nsid w:val="54801ED1"/>
    <w:multiLevelType w:val="singleLevel"/>
    <w:tmpl w:val="54801ED1"/>
    <w:lvl w:ilvl="0" w:tentative="0">
      <w:start w:val="1"/>
      <w:numFmt w:val="lowerLetter"/>
      <w:lvlText w:val="%1."/>
      <w:lvlJc w:val="left"/>
      <w:pPr>
        <w:tabs>
          <w:tab w:val="left" w:pos="425"/>
        </w:tabs>
        <w:ind w:left="425" w:hanging="425"/>
      </w:pPr>
      <w:rPr>
        <w:rFonts w:hint="default"/>
      </w:rPr>
    </w:lvl>
  </w:abstractNum>
  <w:abstractNum w:abstractNumId="3">
    <w:nsid w:val="54801EE8"/>
    <w:multiLevelType w:val="singleLevel"/>
    <w:tmpl w:val="54801EE8"/>
    <w:lvl w:ilvl="0" w:tentative="0">
      <w:start w:val="1"/>
      <w:numFmt w:val="lowerLetter"/>
      <w:lvlText w:val="%1."/>
      <w:lvlJc w:val="left"/>
      <w:pPr>
        <w:tabs>
          <w:tab w:val="left" w:pos="425"/>
        </w:tabs>
        <w:ind w:left="425" w:hanging="425"/>
      </w:pPr>
      <w:rPr>
        <w:rFonts w:hint="default"/>
      </w:rPr>
    </w:lvl>
  </w:abstractNum>
  <w:abstractNum w:abstractNumId="4">
    <w:nsid w:val="54801EFC"/>
    <w:multiLevelType w:val="singleLevel"/>
    <w:tmpl w:val="54801EFC"/>
    <w:lvl w:ilvl="0" w:tentative="0">
      <w:start w:val="1"/>
      <w:numFmt w:val="lowerLetter"/>
      <w:lvlText w:val="%1."/>
      <w:lvlJc w:val="left"/>
      <w:pPr>
        <w:tabs>
          <w:tab w:val="left" w:pos="425"/>
        </w:tabs>
        <w:ind w:left="425" w:hanging="425"/>
      </w:pPr>
      <w:rPr>
        <w:rFonts w:hint="default"/>
      </w:rPr>
    </w:lvl>
  </w:abstractNum>
  <w:abstractNum w:abstractNumId="5">
    <w:nsid w:val="54801F0E"/>
    <w:multiLevelType w:val="singleLevel"/>
    <w:tmpl w:val="54801F0E"/>
    <w:lvl w:ilvl="0" w:tentative="0">
      <w:start w:val="1"/>
      <w:numFmt w:val="lowerLetter"/>
      <w:lvlText w:val="%1."/>
      <w:lvlJc w:val="left"/>
      <w:pPr>
        <w:tabs>
          <w:tab w:val="left" w:pos="425"/>
        </w:tabs>
        <w:ind w:left="425" w:hanging="425"/>
      </w:pPr>
      <w:rPr>
        <w:rFonts w:hint="default"/>
      </w:rPr>
    </w:lvl>
  </w:abstractNum>
  <w:abstractNum w:abstractNumId="6">
    <w:nsid w:val="54801F50"/>
    <w:multiLevelType w:val="singleLevel"/>
    <w:tmpl w:val="54801F50"/>
    <w:lvl w:ilvl="0" w:tentative="0">
      <w:start w:val="1"/>
      <w:numFmt w:val="lowerLetter"/>
      <w:lvlText w:val="%1."/>
      <w:lvlJc w:val="left"/>
      <w:pPr>
        <w:tabs>
          <w:tab w:val="left" w:pos="425"/>
        </w:tabs>
        <w:ind w:left="425" w:hanging="425"/>
      </w:pPr>
      <w:rPr>
        <w:rFonts w:hint="default"/>
      </w:rPr>
    </w:lvl>
  </w:abstractNum>
  <w:abstractNum w:abstractNumId="7">
    <w:nsid w:val="54801F70"/>
    <w:multiLevelType w:val="singleLevel"/>
    <w:tmpl w:val="54801F70"/>
    <w:lvl w:ilvl="0" w:tentative="0">
      <w:start w:val="1"/>
      <w:numFmt w:val="lowerLetter"/>
      <w:lvlText w:val="%1."/>
      <w:lvlJc w:val="left"/>
      <w:pPr>
        <w:tabs>
          <w:tab w:val="left" w:pos="425"/>
        </w:tabs>
        <w:ind w:left="425" w:hanging="425"/>
      </w:pPr>
      <w:rPr>
        <w:rFonts w:hint="default"/>
      </w:rPr>
    </w:lvl>
  </w:abstractNum>
  <w:abstractNum w:abstractNumId="8">
    <w:nsid w:val="54801F8E"/>
    <w:multiLevelType w:val="singleLevel"/>
    <w:tmpl w:val="54801F8E"/>
    <w:lvl w:ilvl="0" w:tentative="0">
      <w:start w:val="1"/>
      <w:numFmt w:val="lowerLetter"/>
      <w:lvlText w:val="%1."/>
      <w:lvlJc w:val="left"/>
      <w:pPr>
        <w:tabs>
          <w:tab w:val="left" w:pos="425"/>
        </w:tabs>
        <w:ind w:left="425" w:hanging="425"/>
      </w:pPr>
      <w:rPr>
        <w:rFonts w:hint="default"/>
      </w:rPr>
    </w:lvl>
  </w:abstractNum>
  <w:abstractNum w:abstractNumId="9">
    <w:nsid w:val="54801F9E"/>
    <w:multiLevelType w:val="singleLevel"/>
    <w:tmpl w:val="54801F9E"/>
    <w:lvl w:ilvl="0" w:tentative="0">
      <w:start w:val="1"/>
      <w:numFmt w:val="lowerLetter"/>
      <w:lvlText w:val="%1."/>
      <w:lvlJc w:val="left"/>
      <w:pPr>
        <w:tabs>
          <w:tab w:val="left" w:pos="425"/>
        </w:tabs>
        <w:ind w:left="425" w:hanging="425"/>
      </w:pPr>
      <w:rPr>
        <w:rFonts w:hint="default"/>
      </w:rPr>
    </w:lvl>
  </w:abstractNum>
  <w:abstractNum w:abstractNumId="10">
    <w:nsid w:val="54B08989"/>
    <w:multiLevelType w:val="singleLevel"/>
    <w:tmpl w:val="54B08989"/>
    <w:lvl w:ilvl="0" w:tentative="0">
      <w:start w:val="1"/>
      <w:numFmt w:val="lowerLetter"/>
      <w:lvlText w:val="%1."/>
      <w:lvlJc w:val="left"/>
      <w:pPr>
        <w:tabs>
          <w:tab w:val="left" w:pos="425"/>
        </w:tabs>
        <w:ind w:left="425" w:hanging="425"/>
      </w:pPr>
      <w:rPr>
        <w:rFonts w:hint="default"/>
      </w:rPr>
    </w:lvl>
  </w:abstractNum>
  <w:abstractNum w:abstractNumId="11">
    <w:nsid w:val="54B089E8"/>
    <w:multiLevelType w:val="singleLevel"/>
    <w:tmpl w:val="54B089E8"/>
    <w:lvl w:ilvl="0" w:tentative="0">
      <w:start w:val="1"/>
      <w:numFmt w:val="lowerLetter"/>
      <w:lvlText w:val="%1."/>
      <w:lvlJc w:val="left"/>
      <w:pPr>
        <w:tabs>
          <w:tab w:val="left" w:pos="425"/>
        </w:tabs>
        <w:ind w:left="425" w:hanging="425"/>
      </w:pPr>
      <w:rPr>
        <w:rFonts w:hint="default"/>
      </w:rPr>
    </w:lvl>
  </w:abstractNum>
  <w:abstractNum w:abstractNumId="12">
    <w:nsid w:val="54B089FC"/>
    <w:multiLevelType w:val="singleLevel"/>
    <w:tmpl w:val="54B089FC"/>
    <w:lvl w:ilvl="0" w:tentative="0">
      <w:start w:val="1"/>
      <w:numFmt w:val="lowerLetter"/>
      <w:lvlText w:val="%1."/>
      <w:lvlJc w:val="left"/>
      <w:pPr>
        <w:tabs>
          <w:tab w:val="left" w:pos="425"/>
        </w:tabs>
        <w:ind w:left="425" w:hanging="425"/>
      </w:pPr>
      <w:rPr>
        <w:rFonts w:hint="default"/>
      </w:rPr>
    </w:lvl>
  </w:abstractNum>
  <w:abstractNum w:abstractNumId="13">
    <w:nsid w:val="54B08A32"/>
    <w:multiLevelType w:val="singleLevel"/>
    <w:tmpl w:val="54B08A32"/>
    <w:lvl w:ilvl="0" w:tentative="0">
      <w:start w:val="1"/>
      <w:numFmt w:val="decimal"/>
      <w:lvlText w:val="%1."/>
      <w:lvlJc w:val="left"/>
      <w:pPr>
        <w:tabs>
          <w:tab w:val="left" w:pos="425"/>
        </w:tabs>
        <w:ind w:left="425" w:hanging="425"/>
      </w:pPr>
      <w:rPr>
        <w:rFonts w:hint="default"/>
        <w:color w:val="auto"/>
      </w:rPr>
    </w:lvl>
  </w:abstractNum>
  <w:abstractNum w:abstractNumId="14">
    <w:nsid w:val="57FC5154"/>
    <w:multiLevelType w:val="singleLevel"/>
    <w:tmpl w:val="57FC5154"/>
    <w:lvl w:ilvl="0" w:tentative="0">
      <w:start w:val="1"/>
      <w:numFmt w:val="lowerLetter"/>
      <w:lvlText w:val="%1."/>
      <w:lvlJc w:val="left"/>
      <w:pPr>
        <w:tabs>
          <w:tab w:val="left" w:pos="425"/>
        </w:tabs>
        <w:ind w:left="425" w:hanging="425"/>
      </w:pPr>
      <w:rPr>
        <w:rFonts w:hint="default"/>
      </w:rPr>
    </w:lvl>
  </w:abstractNum>
  <w:abstractNum w:abstractNumId="15">
    <w:nsid w:val="5930D9FB"/>
    <w:multiLevelType w:val="singleLevel"/>
    <w:tmpl w:val="5930D9FB"/>
    <w:lvl w:ilvl="0" w:tentative="0">
      <w:start w:val="2"/>
      <w:numFmt w:val="decimal"/>
      <w:suff w:val="nothing"/>
      <w:lvlText w:val="%1、"/>
      <w:lvlJc w:val="left"/>
    </w:lvl>
  </w:abstractNum>
  <w:num w:numId="1">
    <w:abstractNumId w:val="15"/>
  </w:num>
  <w:num w:numId="2">
    <w:abstractNumId w:val="1"/>
  </w:num>
  <w:num w:numId="3">
    <w:abstractNumId w:val="3"/>
  </w:num>
  <w:num w:numId="4">
    <w:abstractNumId w:val="4"/>
  </w:num>
  <w:num w:numId="5">
    <w:abstractNumId w:val="5"/>
  </w:num>
  <w:num w:numId="6">
    <w:abstractNumId w:val="2"/>
  </w:num>
  <w:num w:numId="7">
    <w:abstractNumId w:val="14"/>
  </w:num>
  <w:num w:numId="8">
    <w:abstractNumId w:val="6"/>
  </w:num>
  <w:num w:numId="9">
    <w:abstractNumId w:val="10"/>
  </w:num>
  <w:num w:numId="10">
    <w:abstractNumId w:val="7"/>
  </w:num>
  <w:num w:numId="11">
    <w:abstractNumId w:val="11"/>
  </w:num>
  <w:num w:numId="12">
    <w:abstractNumId w:val="8"/>
  </w:num>
  <w:num w:numId="13">
    <w:abstractNumId w:val="9"/>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3182"/>
    <w:rsid w:val="000A150F"/>
    <w:rsid w:val="001074ED"/>
    <w:rsid w:val="00247F36"/>
    <w:rsid w:val="004B1228"/>
    <w:rsid w:val="004E4041"/>
    <w:rsid w:val="00666EF6"/>
    <w:rsid w:val="00883017"/>
    <w:rsid w:val="009D5486"/>
    <w:rsid w:val="00A73182"/>
    <w:rsid w:val="00C92CFE"/>
    <w:rsid w:val="00FE7458"/>
    <w:rsid w:val="00FF6915"/>
    <w:rsid w:val="01E16DE4"/>
    <w:rsid w:val="090A6600"/>
    <w:rsid w:val="0DB57CAC"/>
    <w:rsid w:val="13020B71"/>
    <w:rsid w:val="14D1155D"/>
    <w:rsid w:val="159F713A"/>
    <w:rsid w:val="15E66964"/>
    <w:rsid w:val="199765A5"/>
    <w:rsid w:val="1D834DB7"/>
    <w:rsid w:val="1E320350"/>
    <w:rsid w:val="220D27F9"/>
    <w:rsid w:val="233A0F8E"/>
    <w:rsid w:val="293112ED"/>
    <w:rsid w:val="2A8A0250"/>
    <w:rsid w:val="346646AA"/>
    <w:rsid w:val="359734B4"/>
    <w:rsid w:val="3B4B695D"/>
    <w:rsid w:val="3B9625A1"/>
    <w:rsid w:val="3FEC0B25"/>
    <w:rsid w:val="420A53BB"/>
    <w:rsid w:val="48113DE5"/>
    <w:rsid w:val="50106E16"/>
    <w:rsid w:val="50BE4EFD"/>
    <w:rsid w:val="523E37DE"/>
    <w:rsid w:val="57764F45"/>
    <w:rsid w:val="5C4B1DA5"/>
    <w:rsid w:val="5ED461D8"/>
    <w:rsid w:val="64917BBF"/>
    <w:rsid w:val="67715567"/>
    <w:rsid w:val="67AA70D7"/>
    <w:rsid w:val="6C9E4504"/>
    <w:rsid w:val="6D72729B"/>
    <w:rsid w:val="6E38448B"/>
    <w:rsid w:val="6F1B1EB3"/>
    <w:rsid w:val="714C4C52"/>
    <w:rsid w:val="725E6E54"/>
    <w:rsid w:val="72D010D8"/>
    <w:rsid w:val="789D79BD"/>
    <w:rsid w:val="7A1F50F2"/>
    <w:rsid w:val="7E9D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link w:val="10"/>
    <w:qFormat/>
    <w:uiPriority w:val="0"/>
    <w:pPr>
      <w:ind w:firstLine="420" w:firstLineChars="200"/>
    </w:pPr>
    <w:rPr>
      <w:rFonts w:asciiTheme="minorHAnsi" w:hAnsiTheme="minorHAnsi" w:cstheme="minorBidi"/>
      <w:sz w:val="21"/>
      <w:szCs w:val="22"/>
    </w:r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9">
    <w:name w:val="Char Char Char Char"/>
    <w:basedOn w:val="1"/>
    <w:qFormat/>
    <w:uiPriority w:val="0"/>
    <w:pPr>
      <w:widowControl/>
      <w:jc w:val="left"/>
    </w:pPr>
    <w:rPr>
      <w:sz w:val="24"/>
    </w:rPr>
  </w:style>
  <w:style w:type="character" w:customStyle="1" w:styleId="10">
    <w:name w:val="正文缩进 Char"/>
    <w:link w:val="2"/>
    <w:qFormat/>
    <w:uiPriority w:val="0"/>
    <w:rPr>
      <w:rFonts w:eastAsia="宋体"/>
    </w:rPr>
  </w:style>
  <w:style w:type="paragraph" w:customStyle="1" w:styleId="11">
    <w:name w:val="List Paragraph"/>
    <w:basedOn w:val="1"/>
    <w:qFormat/>
    <w:uiPriority w:val="34"/>
    <w:pPr>
      <w:ind w:firstLine="420" w:firstLineChars="200"/>
    </w:pPr>
  </w:style>
  <w:style w:type="character" w:customStyle="1" w:styleId="12">
    <w:name w:val="页眉 Char"/>
    <w:basedOn w:val="7"/>
    <w:link w:val="5"/>
    <w:qFormat/>
    <w:uiPriority w:val="0"/>
    <w:rPr>
      <w:rFonts w:ascii="Times New Roman" w:hAnsi="Times New Roman" w:eastAsia="宋体" w:cs="Times New Roman"/>
      <w:sz w:val="18"/>
      <w:szCs w:val="18"/>
    </w:rPr>
  </w:style>
  <w:style w:type="character" w:customStyle="1" w:styleId="13">
    <w:name w:val="页脚 Char"/>
    <w:basedOn w:val="7"/>
    <w:link w:val="4"/>
    <w:semiHidden/>
    <w:qFormat/>
    <w:uiPriority w:val="99"/>
    <w:rPr>
      <w:rFonts w:ascii="Times New Roman" w:hAnsi="Times New Roman" w:eastAsia="宋体" w:cs="Times New Roman"/>
      <w:sz w:val="18"/>
      <w:szCs w:val="18"/>
    </w:r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87C21-72DD-4307-8F29-20F40F0434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304</Words>
  <Characters>1735</Characters>
  <Lines>14</Lines>
  <Paragraphs>4</Paragraphs>
  <ScaleCrop>false</ScaleCrop>
  <LinksUpToDate>false</LinksUpToDate>
  <CharactersWithSpaces>2035</CharactersWithSpaces>
  <Application>WPS Office_10.1.0.6560_F1E327BC-269C-435d-A152-05C5408002CA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2017-05-28T16:04:00Z</dcterms:created>
  <dc:creator>Windows</dc:creator>
  <cp:lastModifiedBy>Administrator</cp:lastModifiedBy>
  <cp:lastPrinted>2017-06-13T01:05:00Z</cp:lastPrinted>
  <dcterms:modified xsi:type="dcterms:W3CDTF">2017-06-19T07:55:01Z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2052-10.1.0.6560</vt:lpwstr>
  </property>
</Properties>
</file>